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3456636" w:displacedByCustomXml="next"/>
    <w:bookmarkEnd w:id="0" w:displacedByCustomXml="next"/>
    <w:bookmarkStart w:id="1" w:name="OLE_LINK1" w:displacedByCustomXml="next"/>
    <w:sdt>
      <w:sdtPr>
        <w:rPr>
          <w:rFonts w:ascii="Calibri" w:hAnsi="Calibri" w:cs="Calibri"/>
          <w:color w:val="0070C0"/>
        </w:rPr>
        <w:id w:val="-448000026"/>
        <w:docPartObj>
          <w:docPartGallery w:val="Cover Pages"/>
          <w:docPartUnique/>
        </w:docPartObj>
      </w:sdtPr>
      <w:sdtEndPr/>
      <w:sdtContent>
        <w:tbl>
          <w:tblPr>
            <w:tblpPr w:leftFromText="187" w:rightFromText="187" w:horzAnchor="margin" w:tblpXSpec="center" w:tblpY="2881"/>
            <w:tblW w:w="5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9623"/>
          </w:tblGrid>
          <w:tr w:rsidR="00DB15F5" w:rsidRPr="00244C6F" w14:paraId="3A42962D" w14:textId="77777777" w:rsidTr="006F4A31">
            <w:trPr>
              <w:trHeight w:val="504"/>
            </w:trPr>
            <w:tc>
              <w:tcPr>
                <w:tcW w:w="9692" w:type="dxa"/>
                <w:tcMar>
                  <w:top w:w="216" w:type="dxa"/>
                  <w:left w:w="115" w:type="dxa"/>
                  <w:bottom w:w="216" w:type="dxa"/>
                  <w:right w:w="115" w:type="dxa"/>
                </w:tcMar>
              </w:tcPr>
              <w:p w14:paraId="435F4E10" w14:textId="38D76E8C" w:rsidR="00483C8C" w:rsidRPr="00244C6F" w:rsidRDefault="00483C8C" w:rsidP="002F09BE">
                <w:pPr>
                  <w:rPr>
                    <w:rFonts w:ascii="Calibri" w:hAnsi="Calibri" w:cs="Calibri"/>
                    <w:color w:val="0070C0"/>
                  </w:rPr>
                </w:pPr>
              </w:p>
            </w:tc>
          </w:tr>
          <w:tr w:rsidR="00DB15F5" w:rsidRPr="00244C6F" w14:paraId="2B1E3D3B" w14:textId="77777777" w:rsidTr="006F4A31">
            <w:trPr>
              <w:trHeight w:val="6528"/>
            </w:trPr>
            <w:tc>
              <w:tcPr>
                <w:tcW w:w="9692" w:type="dxa"/>
              </w:tcPr>
              <w:sdt>
                <w:sdtPr>
                  <w:rPr>
                    <w:rFonts w:ascii="Calibri" w:eastAsiaTheme="majorEastAsia" w:hAnsi="Calibri" w:cs="Calibri"/>
                    <w:color w:val="0070C0"/>
                    <w:sz w:val="96"/>
                    <w:szCs w:val="96"/>
                  </w:rPr>
                  <w:alias w:val="Pavadinimas"/>
                  <w:id w:val="13406919"/>
                  <w:placeholder>
                    <w:docPart w:val="1767AB872295449DB058B5F2ECA1EEB7"/>
                  </w:placeholder>
                  <w:dataBinding w:prefixMappings="xmlns:ns0='http://schemas.openxmlformats.org/package/2006/metadata/core-properties' xmlns:ns1='http://purl.org/dc/elements/1.1/'" w:xpath="/ns0:coreProperties[1]/ns1:title[1]" w:storeItemID="{6C3C8BC8-F283-45AE-878A-BAB7291924A1}"/>
                  <w:text/>
                </w:sdtPr>
                <w:sdtEndPr/>
                <w:sdtContent>
                  <w:p w14:paraId="27881870" w14:textId="4BB7CD87" w:rsidR="00483C8C" w:rsidRPr="00244C6F" w:rsidRDefault="007D325C" w:rsidP="00CD0D21">
                    <w:pPr>
                      <w:pStyle w:val="Betarp"/>
                      <w:spacing w:line="216" w:lineRule="auto"/>
                      <w:rPr>
                        <w:rFonts w:ascii="Calibri" w:eastAsiaTheme="majorEastAsia" w:hAnsi="Calibri" w:cs="Calibri"/>
                        <w:color w:val="0070C0"/>
                        <w:sz w:val="88"/>
                        <w:szCs w:val="88"/>
                      </w:rPr>
                    </w:pPr>
                    <w:r>
                      <w:rPr>
                        <w:rFonts w:ascii="Calibri" w:eastAsiaTheme="majorEastAsia" w:hAnsi="Calibri" w:cs="Calibri"/>
                        <w:color w:val="0070C0"/>
                        <w:sz w:val="96"/>
                        <w:szCs w:val="96"/>
                      </w:rPr>
                      <w:t>Atstovavimas valstybei deliktinės atsakomybės bylose – 2024 metų apžvalga</w:t>
                    </w:r>
                  </w:p>
                </w:sdtContent>
              </w:sdt>
            </w:tc>
          </w:tr>
          <w:tr w:rsidR="00DB15F5" w:rsidRPr="00244C6F" w14:paraId="59AC909F" w14:textId="77777777" w:rsidTr="006F4A31">
            <w:trPr>
              <w:trHeight w:val="287"/>
            </w:trPr>
            <w:tc>
              <w:tcPr>
                <w:tcW w:w="9692" w:type="dxa"/>
                <w:tcMar>
                  <w:top w:w="216" w:type="dxa"/>
                  <w:left w:w="115" w:type="dxa"/>
                  <w:bottom w:w="216" w:type="dxa"/>
                  <w:right w:w="115" w:type="dxa"/>
                </w:tcMar>
              </w:tcPr>
              <w:p w14:paraId="421FD148" w14:textId="28C19CC2" w:rsidR="00483C8C" w:rsidRPr="00244C6F" w:rsidRDefault="00483C8C">
                <w:pPr>
                  <w:pStyle w:val="Betarp"/>
                  <w:rPr>
                    <w:rFonts w:ascii="Calibri" w:hAnsi="Calibri" w:cs="Calibri"/>
                    <w:color w:val="0070C0"/>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435"/>
          </w:tblGrid>
          <w:tr w:rsidR="00DB15F5" w:rsidRPr="00244C6F" w14:paraId="2AC9130A" w14:textId="77777777" w:rsidTr="00B914DC">
            <w:tc>
              <w:tcPr>
                <w:tcW w:w="7435" w:type="dxa"/>
                <w:tcMar>
                  <w:top w:w="216" w:type="dxa"/>
                  <w:left w:w="115" w:type="dxa"/>
                  <w:bottom w:w="216" w:type="dxa"/>
                  <w:right w:w="115" w:type="dxa"/>
                </w:tcMar>
              </w:tcPr>
              <w:p w14:paraId="4D82B791" w14:textId="6280CAFE" w:rsidR="00483C8C" w:rsidRPr="00244C6F" w:rsidRDefault="007510B8" w:rsidP="007510B8">
                <w:pPr>
                  <w:pStyle w:val="Betarp"/>
                  <w:jc w:val="center"/>
                  <w:rPr>
                    <w:rFonts w:ascii="Calibri" w:hAnsi="Calibri" w:cs="Calibri"/>
                    <w:color w:val="0070C0"/>
                  </w:rPr>
                </w:pPr>
                <w:r w:rsidRPr="00244C6F">
                  <w:rPr>
                    <w:rFonts w:ascii="Calibri" w:hAnsi="Calibri" w:cs="Calibri"/>
                    <w:color w:val="0070C0"/>
                  </w:rPr>
                  <w:t xml:space="preserve"> </w:t>
                </w:r>
              </w:p>
            </w:tc>
          </w:tr>
        </w:tbl>
        <w:p w14:paraId="6B632393" w14:textId="06D0AB56" w:rsidR="00483C8C" w:rsidRPr="00244C6F" w:rsidRDefault="00B914DC">
          <w:pPr>
            <w:rPr>
              <w:rFonts w:ascii="Calibri" w:hAnsi="Calibri" w:cs="Calibri"/>
              <w:color w:val="0070C0"/>
            </w:rPr>
          </w:pPr>
          <w:r w:rsidRPr="00244C6F">
            <w:rPr>
              <w:rFonts w:ascii="Calibri" w:hAnsi="Calibri" w:cs="Calibri"/>
              <w:color w:val="0070C0"/>
            </w:rPr>
            <w:t xml:space="preserve">                                 </w:t>
          </w:r>
          <w:r w:rsidRPr="00244C6F">
            <w:rPr>
              <w:rFonts w:ascii="Calibri" w:hAnsi="Calibri" w:cs="Calibri"/>
              <w:noProof/>
              <w:color w:val="0070C0"/>
            </w:rPr>
            <w:drawing>
              <wp:inline distT="0" distB="0" distL="0" distR="0" wp14:anchorId="74054F11" wp14:editId="4397B813">
                <wp:extent cx="3795696" cy="1466850"/>
                <wp:effectExtent l="0" t="0" r="0" b="0"/>
                <wp:docPr id="41587400" name="Paveikslėlis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7400" name="Paveikslėlis 2" descr="Paveikslėlis, kuriame yra tekstas, Šriftas, Grafika, logotipas&#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2104" cy="1469326"/>
                        </a:xfrm>
                        <a:prstGeom prst="rect">
                          <a:avLst/>
                        </a:prstGeom>
                        <a:noFill/>
                      </pic:spPr>
                    </pic:pic>
                  </a:graphicData>
                </a:graphic>
              </wp:inline>
            </w:drawing>
          </w:r>
          <w:r w:rsidR="00483C8C" w:rsidRPr="00244C6F">
            <w:rPr>
              <w:rFonts w:ascii="Calibri" w:hAnsi="Calibri" w:cs="Calibri"/>
              <w:color w:val="0070C0"/>
            </w:rPr>
            <w:br w:type="page"/>
          </w:r>
        </w:p>
      </w:sdtContent>
    </w:sdt>
    <w:p w14:paraId="4BE4E233" w14:textId="56D3EB79" w:rsidR="008C616A" w:rsidRPr="00244C6F" w:rsidRDefault="008C616A" w:rsidP="00A40130">
      <w:pPr>
        <w:spacing w:after="0" w:line="240" w:lineRule="auto"/>
        <w:jc w:val="both"/>
        <w:rPr>
          <w:rFonts w:ascii="Calibri" w:hAnsi="Calibri" w:cs="Calibri"/>
          <w:color w:val="0070C0"/>
          <w:sz w:val="48"/>
          <w:szCs w:val="48"/>
        </w:rPr>
      </w:pPr>
      <w:r w:rsidRPr="00244C6F">
        <w:rPr>
          <w:rFonts w:ascii="Calibri" w:hAnsi="Calibri" w:cs="Calibri"/>
          <w:color w:val="0070C0"/>
          <w:sz w:val="48"/>
          <w:szCs w:val="48"/>
        </w:rPr>
        <w:lastRenderedPageBreak/>
        <w:t xml:space="preserve">Teisingumo ministerijos </w:t>
      </w:r>
      <w:r w:rsidR="001751ED" w:rsidRPr="00244C6F">
        <w:rPr>
          <w:rFonts w:ascii="Calibri" w:hAnsi="Calibri" w:cs="Calibri"/>
          <w:color w:val="0070C0"/>
          <w:sz w:val="48"/>
          <w:szCs w:val="48"/>
        </w:rPr>
        <w:t>vaidmuo ir</w:t>
      </w:r>
      <w:r w:rsidRPr="00244C6F">
        <w:rPr>
          <w:rFonts w:ascii="Calibri" w:hAnsi="Calibri" w:cs="Calibri"/>
          <w:color w:val="0070C0"/>
          <w:sz w:val="48"/>
          <w:szCs w:val="48"/>
        </w:rPr>
        <w:t xml:space="preserve"> veikla</w:t>
      </w:r>
    </w:p>
    <w:p w14:paraId="0136E322" w14:textId="77777777" w:rsidR="002302EE" w:rsidRPr="006F4A31" w:rsidRDefault="002302EE" w:rsidP="00661E9C">
      <w:pPr>
        <w:spacing w:after="0"/>
        <w:jc w:val="both"/>
        <w:rPr>
          <w:rFonts w:ascii="Calibri" w:hAnsi="Calibri" w:cs="Calibri"/>
        </w:rPr>
      </w:pPr>
    </w:p>
    <w:p w14:paraId="58ECF720" w14:textId="3853CA85" w:rsidR="00661E9C" w:rsidRPr="006F4A31" w:rsidRDefault="00005458" w:rsidP="00661E9C">
      <w:pPr>
        <w:spacing w:after="0"/>
        <w:jc w:val="both"/>
        <w:rPr>
          <w:rFonts w:ascii="Calibri" w:hAnsi="Calibri" w:cs="Calibri"/>
          <w:color w:val="0070C0"/>
          <w:sz w:val="28"/>
          <w:szCs w:val="28"/>
        </w:rPr>
      </w:pPr>
      <w:r w:rsidRPr="006F4A31">
        <w:rPr>
          <w:rFonts w:ascii="Calibri" w:hAnsi="Calibri" w:cs="Calibri"/>
          <w:color w:val="0070C0"/>
          <w:sz w:val="28"/>
          <w:szCs w:val="28"/>
        </w:rPr>
        <w:t>Valstybės deliktinės atsakomybės institu</w:t>
      </w:r>
      <w:r w:rsidR="002836E9" w:rsidRPr="006F4A31">
        <w:rPr>
          <w:rFonts w:ascii="Calibri" w:hAnsi="Calibri" w:cs="Calibri"/>
          <w:color w:val="0070C0"/>
          <w:sz w:val="28"/>
          <w:szCs w:val="28"/>
        </w:rPr>
        <w:t>tas</w:t>
      </w:r>
      <w:r w:rsidR="001751ED" w:rsidRPr="006F4A31">
        <w:rPr>
          <w:rFonts w:ascii="Calibri" w:hAnsi="Calibri" w:cs="Calibri"/>
          <w:color w:val="0070C0"/>
          <w:sz w:val="28"/>
          <w:szCs w:val="28"/>
        </w:rPr>
        <w:t xml:space="preserve"> ir valstybės atstovo bylose nustatymas</w:t>
      </w:r>
    </w:p>
    <w:p w14:paraId="5B1BF4C8" w14:textId="77777777" w:rsidR="002836E9" w:rsidRPr="00244C6F" w:rsidRDefault="002836E9" w:rsidP="00661E9C">
      <w:pPr>
        <w:spacing w:after="0"/>
        <w:jc w:val="both"/>
        <w:rPr>
          <w:rFonts w:ascii="Calibri" w:hAnsi="Calibri" w:cs="Calibri"/>
          <w:color w:val="0070C0"/>
        </w:rPr>
      </w:pPr>
    </w:p>
    <w:p w14:paraId="76D51D1D" w14:textId="1C61D766" w:rsidR="004B419C" w:rsidRPr="00244C6F" w:rsidRDefault="004B419C" w:rsidP="00C14E2E">
      <w:pPr>
        <w:spacing w:after="0"/>
        <w:ind w:firstLine="720"/>
        <w:jc w:val="both"/>
        <w:rPr>
          <w:rFonts w:ascii="Calibri" w:hAnsi="Calibri" w:cs="Calibri"/>
        </w:rPr>
      </w:pPr>
      <w:r w:rsidRPr="00244C6F">
        <w:rPr>
          <w:rFonts w:ascii="Calibri" w:hAnsi="Calibri" w:cs="Calibri"/>
        </w:rPr>
        <w:t xml:space="preserve">Šis institutas užtikrina, kad valstybė, veikdama per savo institucijas ir pareigūnus, būtų atsakinga už </w:t>
      </w:r>
      <w:r w:rsidR="001751ED" w:rsidRPr="00244C6F">
        <w:rPr>
          <w:rFonts w:ascii="Calibri" w:hAnsi="Calibri" w:cs="Calibri"/>
        </w:rPr>
        <w:t xml:space="preserve">neteisėtais veiksmais </w:t>
      </w:r>
      <w:r w:rsidRPr="00244C6F">
        <w:rPr>
          <w:rFonts w:ascii="Calibri" w:hAnsi="Calibri" w:cs="Calibri"/>
        </w:rPr>
        <w:t>padarytą žalą ir privalėtų ją atlyginti. Valstybės deliktinės atsakomybės institutą įtvirtina Lietuvos Respublikos civilinio kodekso (toliau – CK) 6.271 straipsnis, numatantis valstybės atsakomybę už žalą, padarytą neteisėtais valstybės institucijų</w:t>
      </w:r>
      <w:r w:rsidR="001751ED" w:rsidRPr="00244C6F">
        <w:rPr>
          <w:rFonts w:ascii="Calibri" w:hAnsi="Calibri" w:cs="Calibri"/>
        </w:rPr>
        <w:t xml:space="preserve"> plačiąja prasme</w:t>
      </w:r>
      <w:r w:rsidRPr="00244C6F">
        <w:rPr>
          <w:rFonts w:ascii="Calibri" w:hAnsi="Calibri" w:cs="Calibri"/>
        </w:rPr>
        <w:t xml:space="preserve"> veiksmais,</w:t>
      </w:r>
      <w:r w:rsidR="001751ED" w:rsidRPr="00244C6F">
        <w:rPr>
          <w:rFonts w:ascii="Calibri" w:hAnsi="Calibri" w:cs="Calibri"/>
        </w:rPr>
        <w:t xml:space="preserve"> ir</w:t>
      </w:r>
      <w:r w:rsidRPr="00244C6F">
        <w:rPr>
          <w:rFonts w:ascii="Calibri" w:hAnsi="Calibri" w:cs="Calibri"/>
        </w:rPr>
        <w:t xml:space="preserve"> CK 6.272 straipsnis, įtvirtinantis valstybės atsakomybę už žalą</w:t>
      </w:r>
      <w:r w:rsidR="00CC2C94" w:rsidRPr="00786ACC">
        <w:rPr>
          <w:rFonts w:ascii="Calibri" w:hAnsi="Calibri" w:cs="Calibri"/>
        </w:rPr>
        <w:t>,</w:t>
      </w:r>
      <w:r w:rsidRPr="00244C6F">
        <w:rPr>
          <w:rFonts w:ascii="Calibri" w:hAnsi="Calibri" w:cs="Calibri"/>
        </w:rPr>
        <w:t xml:space="preserve"> padarytą neteisėtais </w:t>
      </w:r>
      <w:r w:rsidR="001751ED" w:rsidRPr="00244C6F">
        <w:rPr>
          <w:rFonts w:ascii="Calibri" w:hAnsi="Calibri" w:cs="Calibri"/>
        </w:rPr>
        <w:t xml:space="preserve">konkrečiai </w:t>
      </w:r>
      <w:r w:rsidRPr="00244C6F">
        <w:rPr>
          <w:rFonts w:ascii="Calibri" w:hAnsi="Calibri" w:cs="Calibri"/>
        </w:rPr>
        <w:t>teisėsaugos institucijų veiksmais</w:t>
      </w:r>
      <w:r w:rsidR="00FA7E7E" w:rsidRPr="00244C6F">
        <w:rPr>
          <w:rFonts w:ascii="Calibri" w:hAnsi="Calibri" w:cs="Calibri"/>
        </w:rPr>
        <w:t xml:space="preserve">. </w:t>
      </w:r>
      <w:r w:rsidR="001751ED" w:rsidRPr="00244C6F">
        <w:rPr>
          <w:rFonts w:ascii="Calibri" w:hAnsi="Calibri" w:cs="Calibri"/>
        </w:rPr>
        <w:t>V</w:t>
      </w:r>
      <w:r w:rsidRPr="00244C6F">
        <w:rPr>
          <w:rFonts w:ascii="Calibri" w:hAnsi="Calibri" w:cs="Calibri"/>
        </w:rPr>
        <w:t xml:space="preserve">alstybės deliktinė atsakomybė gali </w:t>
      </w:r>
      <w:r w:rsidR="001751ED" w:rsidRPr="00244C6F">
        <w:rPr>
          <w:rFonts w:ascii="Calibri" w:hAnsi="Calibri" w:cs="Calibri"/>
        </w:rPr>
        <w:t xml:space="preserve">būti </w:t>
      </w:r>
      <w:r w:rsidRPr="00244C6F">
        <w:rPr>
          <w:rFonts w:ascii="Calibri" w:hAnsi="Calibri" w:cs="Calibri"/>
        </w:rPr>
        <w:t>kildinama iš skirtingų teis</w:t>
      </w:r>
      <w:r w:rsidR="00403C38" w:rsidRPr="00244C6F">
        <w:rPr>
          <w:rFonts w:ascii="Calibri" w:hAnsi="Calibri" w:cs="Calibri"/>
        </w:rPr>
        <w:t>i</w:t>
      </w:r>
      <w:r w:rsidRPr="00244C6F">
        <w:rPr>
          <w:rFonts w:ascii="Calibri" w:hAnsi="Calibri" w:cs="Calibri"/>
        </w:rPr>
        <w:t>nių santykių – administracinių, civilinių ar baudžiamųjų.</w:t>
      </w:r>
    </w:p>
    <w:p w14:paraId="6B2AA980" w14:textId="04C0C579" w:rsidR="00CE5882" w:rsidRPr="00244C6F" w:rsidRDefault="00CE5882" w:rsidP="00C14E2E">
      <w:pPr>
        <w:spacing w:after="0"/>
        <w:ind w:right="-1" w:firstLine="720"/>
        <w:jc w:val="both"/>
        <w:rPr>
          <w:rFonts w:ascii="Calibri" w:hAnsi="Calibri" w:cs="Calibri"/>
        </w:rPr>
      </w:pPr>
      <w:r w:rsidRPr="00244C6F">
        <w:rPr>
          <w:rFonts w:ascii="Calibri" w:hAnsi="Calibri" w:cs="Calibri"/>
        </w:rPr>
        <w:t>Valstyb</w:t>
      </w:r>
      <w:r w:rsidR="001751ED" w:rsidRPr="00244C6F">
        <w:rPr>
          <w:rFonts w:ascii="Calibri" w:hAnsi="Calibri" w:cs="Calibri"/>
        </w:rPr>
        <w:t>ei</w:t>
      </w:r>
      <w:r w:rsidRPr="00244C6F">
        <w:rPr>
          <w:rFonts w:ascii="Calibri" w:hAnsi="Calibri" w:cs="Calibri"/>
        </w:rPr>
        <w:t xml:space="preserve"> bylose, kuriose keliama</w:t>
      </w:r>
      <w:r w:rsidR="00450A34" w:rsidRPr="00244C6F">
        <w:rPr>
          <w:rFonts w:ascii="Calibri" w:hAnsi="Calibri" w:cs="Calibri"/>
        </w:rPr>
        <w:t>s</w:t>
      </w:r>
      <w:r w:rsidRPr="00244C6F">
        <w:rPr>
          <w:rFonts w:ascii="Calibri" w:hAnsi="Calibri" w:cs="Calibri"/>
        </w:rPr>
        <w:t xml:space="preserve"> </w:t>
      </w:r>
      <w:r w:rsidR="001751ED" w:rsidRPr="00244C6F">
        <w:rPr>
          <w:rFonts w:ascii="Calibri" w:hAnsi="Calibri" w:cs="Calibri"/>
        </w:rPr>
        <w:t xml:space="preserve">valdžios institucijų </w:t>
      </w:r>
      <w:r w:rsidRPr="00244C6F">
        <w:rPr>
          <w:rFonts w:ascii="Calibri" w:hAnsi="Calibri" w:cs="Calibri"/>
        </w:rPr>
        <w:t xml:space="preserve">deliktinės atsakomybės </w:t>
      </w:r>
      <w:r w:rsidR="00266145" w:rsidRPr="00244C6F">
        <w:rPr>
          <w:rFonts w:ascii="Calibri" w:hAnsi="Calibri" w:cs="Calibri"/>
        </w:rPr>
        <w:t>klausimas</w:t>
      </w:r>
      <w:r w:rsidRPr="00244C6F">
        <w:rPr>
          <w:rFonts w:ascii="Calibri" w:hAnsi="Calibri" w:cs="Calibri"/>
        </w:rPr>
        <w:t xml:space="preserve">, </w:t>
      </w:r>
      <w:r w:rsidR="001751ED" w:rsidRPr="00244C6F">
        <w:rPr>
          <w:rFonts w:ascii="Calibri" w:hAnsi="Calibri" w:cs="Calibri"/>
        </w:rPr>
        <w:t>atstovaujama pagal</w:t>
      </w:r>
      <w:r w:rsidRPr="00244C6F">
        <w:rPr>
          <w:rFonts w:ascii="Calibri" w:hAnsi="Calibri" w:cs="Calibri"/>
        </w:rPr>
        <w:t xml:space="preserve"> </w:t>
      </w:r>
      <w:r w:rsidR="00BE0153" w:rsidRPr="00244C6F">
        <w:rPr>
          <w:rFonts w:ascii="Calibri" w:hAnsi="Calibri" w:cs="Calibri"/>
        </w:rPr>
        <w:t xml:space="preserve">Lietuvos Respublikos žalos, atsiradusios dėl valdžios institucijų neteisėtų veiksmų, atlyginimo ir atstovavimo valstybei ir Lietuvos Respublikos Vyriausybei </w:t>
      </w:r>
      <w:r w:rsidR="001751ED" w:rsidRPr="00244C6F">
        <w:rPr>
          <w:rFonts w:ascii="Calibri" w:hAnsi="Calibri" w:cs="Calibri"/>
        </w:rPr>
        <w:t xml:space="preserve">įstatyme </w:t>
      </w:r>
      <w:r w:rsidRPr="00244C6F">
        <w:rPr>
          <w:rFonts w:ascii="Calibri" w:hAnsi="Calibri" w:cs="Calibri"/>
        </w:rPr>
        <w:t>(toliau – Žalos</w:t>
      </w:r>
      <w:r w:rsidR="00A06F64" w:rsidRPr="00244C6F">
        <w:rPr>
          <w:rFonts w:ascii="Calibri" w:hAnsi="Calibri" w:cs="Calibri"/>
        </w:rPr>
        <w:t xml:space="preserve"> ir atstovavimo</w:t>
      </w:r>
      <w:r w:rsidRPr="00244C6F">
        <w:rPr>
          <w:rFonts w:ascii="Calibri" w:hAnsi="Calibri" w:cs="Calibri"/>
        </w:rPr>
        <w:t xml:space="preserve"> įstatymas) bei j</w:t>
      </w:r>
      <w:r w:rsidR="0060680D" w:rsidRPr="00244C6F">
        <w:rPr>
          <w:rFonts w:ascii="Calibri" w:hAnsi="Calibri" w:cs="Calibri"/>
        </w:rPr>
        <w:t>į</w:t>
      </w:r>
      <w:r w:rsidRPr="00244C6F">
        <w:rPr>
          <w:rFonts w:ascii="Calibri" w:hAnsi="Calibri" w:cs="Calibri"/>
        </w:rPr>
        <w:t xml:space="preserve"> </w:t>
      </w:r>
      <w:r w:rsidR="001751ED" w:rsidRPr="00244C6F">
        <w:rPr>
          <w:rFonts w:ascii="Calibri" w:hAnsi="Calibri" w:cs="Calibri"/>
        </w:rPr>
        <w:t xml:space="preserve">įgyvendinančiuose </w:t>
      </w:r>
      <w:r w:rsidRPr="00244C6F">
        <w:rPr>
          <w:rFonts w:ascii="Calibri" w:hAnsi="Calibri" w:cs="Calibri"/>
        </w:rPr>
        <w:t>teis</w:t>
      </w:r>
      <w:r w:rsidR="0060680D" w:rsidRPr="00244C6F">
        <w:rPr>
          <w:rFonts w:ascii="Calibri" w:hAnsi="Calibri" w:cs="Calibri"/>
        </w:rPr>
        <w:t xml:space="preserve">ės </w:t>
      </w:r>
      <w:r w:rsidR="001751ED" w:rsidRPr="00244C6F">
        <w:rPr>
          <w:rFonts w:ascii="Calibri" w:hAnsi="Calibri" w:cs="Calibri"/>
        </w:rPr>
        <w:t xml:space="preserve">aktuose </w:t>
      </w:r>
      <w:r w:rsidR="0060680D" w:rsidRPr="00244C6F">
        <w:rPr>
          <w:rFonts w:ascii="Calibri" w:hAnsi="Calibri" w:cs="Calibri"/>
        </w:rPr>
        <w:t xml:space="preserve">– </w:t>
      </w:r>
      <w:r w:rsidR="00244597" w:rsidRPr="00244C6F">
        <w:rPr>
          <w:rFonts w:ascii="Calibri" w:hAnsi="Calibri" w:cs="Calibri"/>
        </w:rPr>
        <w:t>Lietuvos Respublikos Vyriausybės 2014</w:t>
      </w:r>
      <w:r w:rsidR="00F564DF" w:rsidRPr="00244C6F">
        <w:rPr>
          <w:rFonts w:ascii="Calibri" w:hAnsi="Calibri" w:cs="Calibri"/>
        </w:rPr>
        <w:t> </w:t>
      </w:r>
      <w:r w:rsidR="00244597" w:rsidRPr="00244C6F">
        <w:rPr>
          <w:rFonts w:ascii="Calibri" w:hAnsi="Calibri" w:cs="Calibri"/>
        </w:rPr>
        <w:t>m. rugsėjo 29</w:t>
      </w:r>
      <w:r w:rsidR="00F564DF" w:rsidRPr="00244C6F">
        <w:rPr>
          <w:rFonts w:ascii="Calibri" w:hAnsi="Calibri" w:cs="Calibri"/>
        </w:rPr>
        <w:t> </w:t>
      </w:r>
      <w:r w:rsidR="00244597" w:rsidRPr="00244C6F">
        <w:rPr>
          <w:rFonts w:ascii="Calibri" w:hAnsi="Calibri" w:cs="Calibri"/>
        </w:rPr>
        <w:t>d. nutarim</w:t>
      </w:r>
      <w:r w:rsidR="0046111F">
        <w:rPr>
          <w:rFonts w:ascii="Calibri" w:hAnsi="Calibri" w:cs="Calibri"/>
        </w:rPr>
        <w:t>e</w:t>
      </w:r>
      <w:r w:rsidR="00244597" w:rsidRPr="00244C6F">
        <w:rPr>
          <w:rFonts w:ascii="Calibri" w:hAnsi="Calibri" w:cs="Calibri"/>
        </w:rPr>
        <w:t xml:space="preserve"> Nr.</w:t>
      </w:r>
      <w:r w:rsidR="00F564DF" w:rsidRPr="00244C6F">
        <w:rPr>
          <w:rFonts w:ascii="Calibri" w:hAnsi="Calibri" w:cs="Calibri"/>
        </w:rPr>
        <w:t> </w:t>
      </w:r>
      <w:r w:rsidR="00244597" w:rsidRPr="00244C6F">
        <w:rPr>
          <w:rFonts w:ascii="Calibri" w:hAnsi="Calibri" w:cs="Calibri"/>
        </w:rPr>
        <w:t xml:space="preserve">1054 „Dėl valstybės ir Vyriausybės atstovo teismuose nustatymo“ </w:t>
      </w:r>
      <w:r w:rsidRPr="00244C6F">
        <w:rPr>
          <w:rFonts w:ascii="Calibri" w:hAnsi="Calibri" w:cs="Calibri"/>
        </w:rPr>
        <w:t xml:space="preserve">ir </w:t>
      </w:r>
      <w:r w:rsidR="00E27C72" w:rsidRPr="00244C6F">
        <w:rPr>
          <w:rFonts w:ascii="Calibri" w:hAnsi="Calibri" w:cs="Calibri"/>
        </w:rPr>
        <w:t xml:space="preserve">Lietuvos Respublikos Vyriausybės </w:t>
      </w:r>
      <w:r w:rsidR="008933AE" w:rsidRPr="00244C6F">
        <w:rPr>
          <w:rFonts w:ascii="Calibri" w:hAnsi="Calibri" w:cs="Calibri"/>
        </w:rPr>
        <w:t>2014</w:t>
      </w:r>
      <w:r w:rsidR="00F564DF" w:rsidRPr="00244C6F">
        <w:rPr>
          <w:rFonts w:ascii="Calibri" w:hAnsi="Calibri" w:cs="Calibri"/>
        </w:rPr>
        <w:t> </w:t>
      </w:r>
      <w:r w:rsidR="008933AE" w:rsidRPr="00244C6F">
        <w:rPr>
          <w:rFonts w:ascii="Calibri" w:hAnsi="Calibri" w:cs="Calibri"/>
        </w:rPr>
        <w:t>m. birželio 4</w:t>
      </w:r>
      <w:r w:rsidR="00F564DF" w:rsidRPr="00244C6F">
        <w:rPr>
          <w:rFonts w:ascii="Calibri" w:hAnsi="Calibri" w:cs="Calibri"/>
        </w:rPr>
        <w:t> </w:t>
      </w:r>
      <w:r w:rsidR="008933AE" w:rsidRPr="00244C6F">
        <w:rPr>
          <w:rFonts w:ascii="Calibri" w:hAnsi="Calibri" w:cs="Calibri"/>
        </w:rPr>
        <w:t>d.</w:t>
      </w:r>
      <w:r w:rsidR="00F564DF" w:rsidRPr="00244C6F" w:rsidDel="00F564DF">
        <w:rPr>
          <w:rFonts w:ascii="Calibri" w:hAnsi="Calibri" w:cs="Calibri"/>
        </w:rPr>
        <w:t xml:space="preserve"> </w:t>
      </w:r>
      <w:r w:rsidR="00E27C72" w:rsidRPr="00244C6F">
        <w:rPr>
          <w:rFonts w:ascii="Calibri" w:hAnsi="Calibri" w:cs="Calibri"/>
        </w:rPr>
        <w:t>nutarim</w:t>
      </w:r>
      <w:r w:rsidR="0046111F">
        <w:rPr>
          <w:rFonts w:ascii="Calibri" w:hAnsi="Calibri" w:cs="Calibri"/>
        </w:rPr>
        <w:t>e</w:t>
      </w:r>
      <w:r w:rsidR="00E27C72" w:rsidRPr="00244C6F">
        <w:rPr>
          <w:rFonts w:ascii="Calibri" w:hAnsi="Calibri" w:cs="Calibri"/>
        </w:rPr>
        <w:t xml:space="preserve"> Nr.</w:t>
      </w:r>
      <w:r w:rsidR="00F564DF" w:rsidRPr="00244C6F">
        <w:rPr>
          <w:rFonts w:ascii="Calibri" w:hAnsi="Calibri" w:cs="Calibri"/>
        </w:rPr>
        <w:t> </w:t>
      </w:r>
      <w:r w:rsidR="00E27C72" w:rsidRPr="00244C6F">
        <w:rPr>
          <w:rFonts w:ascii="Calibri" w:hAnsi="Calibri" w:cs="Calibri"/>
        </w:rPr>
        <w:t>497 „Dėl</w:t>
      </w:r>
      <w:r w:rsidR="00F564DF" w:rsidRPr="00244C6F">
        <w:rPr>
          <w:rFonts w:ascii="Calibri" w:hAnsi="Calibri" w:cs="Calibri"/>
        </w:rPr>
        <w:t xml:space="preserve"> </w:t>
      </w:r>
      <w:r w:rsidR="00E27C72" w:rsidRPr="00244C6F">
        <w:rPr>
          <w:rFonts w:ascii="Calibri" w:hAnsi="Calibri" w:cs="Calibri"/>
        </w:rPr>
        <w:t>atstovavimo valstybei ir Vyriausybei teismuose taisyklių</w:t>
      </w:r>
      <w:r w:rsidR="000B3EE1" w:rsidRPr="00244C6F">
        <w:rPr>
          <w:rFonts w:ascii="Calibri" w:hAnsi="Calibri" w:cs="Calibri"/>
        </w:rPr>
        <w:t xml:space="preserve"> </w:t>
      </w:r>
      <w:r w:rsidR="00E27C72" w:rsidRPr="00244C6F">
        <w:rPr>
          <w:rFonts w:ascii="Calibri" w:hAnsi="Calibri" w:cs="Calibri"/>
        </w:rPr>
        <w:t>patvirtinimo“</w:t>
      </w:r>
      <w:r w:rsidR="001751ED" w:rsidRPr="00244C6F">
        <w:rPr>
          <w:rFonts w:ascii="Calibri" w:hAnsi="Calibri" w:cs="Calibri"/>
        </w:rPr>
        <w:t xml:space="preserve"> </w:t>
      </w:r>
      <w:r w:rsidR="00F564DF" w:rsidRPr="00244C6F">
        <w:rPr>
          <w:rFonts w:ascii="Calibri" w:hAnsi="Calibri" w:cs="Calibri"/>
        </w:rPr>
        <w:t xml:space="preserve">– </w:t>
      </w:r>
      <w:r w:rsidR="001751ED" w:rsidRPr="00244C6F">
        <w:rPr>
          <w:rFonts w:ascii="Calibri" w:hAnsi="Calibri" w:cs="Calibri"/>
        </w:rPr>
        <w:t>nustatytus principus ir tvarką.</w:t>
      </w:r>
    </w:p>
    <w:p w14:paraId="5EB59653" w14:textId="45299A7B" w:rsidR="00CE5882" w:rsidRPr="00244C6F" w:rsidRDefault="00CE5882" w:rsidP="00C14E2E">
      <w:pPr>
        <w:spacing w:after="0"/>
        <w:ind w:firstLine="720"/>
        <w:jc w:val="both"/>
        <w:rPr>
          <w:rFonts w:ascii="Calibri" w:hAnsi="Calibri" w:cs="Calibri"/>
        </w:rPr>
      </w:pPr>
      <w:r w:rsidRPr="00244C6F">
        <w:rPr>
          <w:rFonts w:ascii="Calibri" w:hAnsi="Calibri" w:cs="Calibri"/>
        </w:rPr>
        <w:t xml:space="preserve">Pagal </w:t>
      </w:r>
      <w:r w:rsidR="001751ED" w:rsidRPr="00244C6F">
        <w:rPr>
          <w:rFonts w:ascii="Calibri" w:hAnsi="Calibri" w:cs="Calibri"/>
        </w:rPr>
        <w:t xml:space="preserve">aptariamą </w:t>
      </w:r>
      <w:r w:rsidRPr="00244C6F">
        <w:rPr>
          <w:rFonts w:ascii="Calibri" w:hAnsi="Calibri" w:cs="Calibri"/>
        </w:rPr>
        <w:t xml:space="preserve">reguliavimą, </w:t>
      </w:r>
      <w:r w:rsidR="001751ED" w:rsidRPr="00244C6F">
        <w:rPr>
          <w:rFonts w:ascii="Calibri" w:hAnsi="Calibri" w:cs="Calibri"/>
        </w:rPr>
        <w:t xml:space="preserve">valstybei </w:t>
      </w:r>
      <w:r w:rsidRPr="00244C6F">
        <w:rPr>
          <w:rFonts w:ascii="Calibri" w:hAnsi="Calibri" w:cs="Calibri"/>
        </w:rPr>
        <w:t xml:space="preserve">deliktinės atsakomybės bylose atstovauja ta institucija, kurios neteisėtais veiksmais ar neveikimu galimai padaryta žala. Tais atvejais, kai žala yra kildinama </w:t>
      </w:r>
      <w:r w:rsidRPr="00244C6F">
        <w:rPr>
          <w:rFonts w:ascii="Calibri" w:hAnsi="Calibri" w:cs="Calibri"/>
          <w:b/>
          <w:bCs/>
        </w:rPr>
        <w:t xml:space="preserve">iš teismų </w:t>
      </w:r>
      <w:r w:rsidR="006319E8" w:rsidRPr="00244C6F">
        <w:rPr>
          <w:rFonts w:ascii="Calibri" w:hAnsi="Calibri" w:cs="Calibri"/>
          <w:b/>
          <w:bCs/>
        </w:rPr>
        <w:t>neteisėtų veiksmų</w:t>
      </w:r>
      <w:r w:rsidRPr="00244C6F">
        <w:rPr>
          <w:rFonts w:ascii="Calibri" w:hAnsi="Calibri" w:cs="Calibri"/>
          <w:b/>
          <w:bCs/>
        </w:rPr>
        <w:t>, valstyb</w:t>
      </w:r>
      <w:r w:rsidR="000A5800" w:rsidRPr="00244C6F">
        <w:rPr>
          <w:rFonts w:ascii="Calibri" w:hAnsi="Calibri" w:cs="Calibri"/>
          <w:b/>
          <w:bCs/>
        </w:rPr>
        <w:t>ei</w:t>
      </w:r>
      <w:r w:rsidRPr="00244C6F">
        <w:rPr>
          <w:rFonts w:ascii="Calibri" w:hAnsi="Calibri" w:cs="Calibri"/>
          <w:b/>
          <w:bCs/>
        </w:rPr>
        <w:t xml:space="preserve"> </w:t>
      </w:r>
      <w:r w:rsidR="000A5800" w:rsidRPr="00244C6F">
        <w:rPr>
          <w:rFonts w:ascii="Calibri" w:hAnsi="Calibri" w:cs="Calibri"/>
          <w:b/>
          <w:bCs/>
        </w:rPr>
        <w:t>atstovauja</w:t>
      </w:r>
      <w:r w:rsidRPr="00244C6F">
        <w:rPr>
          <w:rFonts w:ascii="Calibri" w:hAnsi="Calibri" w:cs="Calibri"/>
          <w:b/>
          <w:bCs/>
        </w:rPr>
        <w:t xml:space="preserve"> </w:t>
      </w:r>
      <w:r w:rsidR="006319E8" w:rsidRPr="00244C6F">
        <w:rPr>
          <w:rFonts w:ascii="Calibri" w:hAnsi="Calibri" w:cs="Calibri"/>
          <w:b/>
          <w:bCs/>
        </w:rPr>
        <w:t>T</w:t>
      </w:r>
      <w:r w:rsidRPr="00244C6F">
        <w:rPr>
          <w:rFonts w:ascii="Calibri" w:hAnsi="Calibri" w:cs="Calibri"/>
          <w:b/>
          <w:bCs/>
        </w:rPr>
        <w:t>eisingumo ministerija</w:t>
      </w:r>
      <w:r w:rsidRPr="00244C6F">
        <w:rPr>
          <w:rFonts w:ascii="Calibri" w:hAnsi="Calibri" w:cs="Calibri"/>
        </w:rPr>
        <w:t>.</w:t>
      </w:r>
    </w:p>
    <w:p w14:paraId="46768063" w14:textId="77777777" w:rsidR="00EB2D00" w:rsidRPr="00244C6F" w:rsidRDefault="00EB2D00" w:rsidP="006E5AD9">
      <w:pPr>
        <w:spacing w:after="0"/>
        <w:ind w:firstLine="720"/>
        <w:jc w:val="both"/>
        <w:rPr>
          <w:rFonts w:ascii="Calibri" w:hAnsi="Calibri" w:cs="Calibri"/>
          <w:sz w:val="28"/>
          <w:szCs w:val="28"/>
        </w:rPr>
      </w:pPr>
    </w:p>
    <w:p w14:paraId="5FF5610D" w14:textId="04F87EDF" w:rsidR="00EB2D00" w:rsidRPr="00244C6F" w:rsidRDefault="00470A62" w:rsidP="00470A62">
      <w:pPr>
        <w:spacing w:after="0"/>
        <w:jc w:val="both"/>
        <w:rPr>
          <w:rFonts w:ascii="Calibri" w:hAnsi="Calibri" w:cs="Calibri"/>
          <w:color w:val="0070C0"/>
          <w:sz w:val="28"/>
          <w:szCs w:val="28"/>
        </w:rPr>
      </w:pPr>
      <w:r w:rsidRPr="00244C6F">
        <w:rPr>
          <w:rFonts w:ascii="Calibri" w:hAnsi="Calibri" w:cs="Calibri"/>
          <w:color w:val="0070C0"/>
          <w:sz w:val="28"/>
          <w:szCs w:val="28"/>
        </w:rPr>
        <w:t>Teismų sprendimų</w:t>
      </w:r>
      <w:r w:rsidR="001361AF" w:rsidRPr="00244C6F">
        <w:rPr>
          <w:rFonts w:ascii="Calibri" w:hAnsi="Calibri" w:cs="Calibri"/>
          <w:color w:val="0070C0"/>
          <w:sz w:val="28"/>
          <w:szCs w:val="28"/>
        </w:rPr>
        <w:t xml:space="preserve"> dėl valstybės deliktinės atsakomybės</w:t>
      </w:r>
      <w:r w:rsidRPr="00244C6F">
        <w:rPr>
          <w:rFonts w:ascii="Calibri" w:hAnsi="Calibri" w:cs="Calibri"/>
          <w:color w:val="0070C0"/>
          <w:sz w:val="28"/>
          <w:szCs w:val="28"/>
        </w:rPr>
        <w:t xml:space="preserve"> vykdymas</w:t>
      </w:r>
    </w:p>
    <w:p w14:paraId="10A45860" w14:textId="77777777" w:rsidR="00470A62" w:rsidRPr="00244C6F" w:rsidRDefault="00470A62" w:rsidP="00470A62">
      <w:pPr>
        <w:spacing w:after="0"/>
        <w:jc w:val="both"/>
        <w:rPr>
          <w:rFonts w:ascii="Calibri" w:hAnsi="Calibri" w:cs="Calibri"/>
          <w:color w:val="0070C0"/>
        </w:rPr>
      </w:pPr>
    </w:p>
    <w:p w14:paraId="4E4EFC3C" w14:textId="65D684BD" w:rsidR="006F3E31" w:rsidRPr="00244C6F" w:rsidRDefault="00DB73CA" w:rsidP="00C14E2E">
      <w:pPr>
        <w:spacing w:after="0"/>
        <w:ind w:firstLine="720"/>
        <w:jc w:val="both"/>
        <w:rPr>
          <w:rFonts w:ascii="Calibri" w:hAnsi="Calibri" w:cs="Calibri"/>
        </w:rPr>
      </w:pPr>
      <w:r w:rsidRPr="00244C6F">
        <w:rPr>
          <w:rFonts w:ascii="Calibri" w:hAnsi="Calibri" w:cs="Calibri"/>
        </w:rPr>
        <w:t xml:space="preserve">Teisingumo ministerija </w:t>
      </w:r>
      <w:r w:rsidR="000B3EE1" w:rsidRPr="00244C6F">
        <w:rPr>
          <w:rFonts w:ascii="Calibri" w:hAnsi="Calibri" w:cs="Calibri"/>
        </w:rPr>
        <w:t xml:space="preserve">taip pat </w:t>
      </w:r>
      <w:r w:rsidRPr="00244C6F">
        <w:rPr>
          <w:rFonts w:ascii="Calibri" w:hAnsi="Calibri" w:cs="Calibri"/>
        </w:rPr>
        <w:t>yra asignavimų, skirtų valdžios institucijų neteisėtais veiksmais padarytai žalai atlyginti, valdytoja</w:t>
      </w:r>
      <w:r w:rsidR="00E16B4C" w:rsidRPr="00244C6F">
        <w:rPr>
          <w:rFonts w:ascii="Calibri" w:hAnsi="Calibri" w:cs="Calibri"/>
        </w:rPr>
        <w:t>.</w:t>
      </w:r>
      <w:r w:rsidR="006A784D" w:rsidRPr="00244C6F">
        <w:rPr>
          <w:rFonts w:ascii="Calibri" w:hAnsi="Calibri" w:cs="Calibri"/>
        </w:rPr>
        <w:t xml:space="preserve"> </w:t>
      </w:r>
      <w:r w:rsidR="00E16B4C" w:rsidRPr="00244C6F">
        <w:rPr>
          <w:rFonts w:ascii="Calibri" w:hAnsi="Calibri" w:cs="Calibri"/>
        </w:rPr>
        <w:t xml:space="preserve">Šią funkciją Teisingumo ministerija atlieka </w:t>
      </w:r>
      <w:r w:rsidR="003A28F0" w:rsidRPr="00244C6F">
        <w:rPr>
          <w:rFonts w:ascii="Calibri" w:hAnsi="Calibri" w:cs="Calibri"/>
        </w:rPr>
        <w:t>Žalos ir atstovavimo įstatyme</w:t>
      </w:r>
      <w:r w:rsidR="00FD3465" w:rsidRPr="00244C6F">
        <w:rPr>
          <w:rFonts w:ascii="Calibri" w:hAnsi="Calibri" w:cs="Calibri"/>
        </w:rPr>
        <w:t xml:space="preserve"> numatytais</w:t>
      </w:r>
      <w:r w:rsidR="006A784D" w:rsidRPr="00244C6F">
        <w:rPr>
          <w:rFonts w:ascii="Calibri" w:hAnsi="Calibri" w:cs="Calibri"/>
        </w:rPr>
        <w:t xml:space="preserve"> </w:t>
      </w:r>
      <w:r w:rsidR="00E16B4C" w:rsidRPr="00244C6F">
        <w:rPr>
          <w:rFonts w:ascii="Calibri" w:hAnsi="Calibri" w:cs="Calibri"/>
        </w:rPr>
        <w:t>pagrindais ir tvarka</w:t>
      </w:r>
      <w:r w:rsidR="006A784D" w:rsidRPr="00244C6F">
        <w:rPr>
          <w:rFonts w:ascii="Calibri" w:hAnsi="Calibri" w:cs="Calibri"/>
        </w:rPr>
        <w:t xml:space="preserve">. </w:t>
      </w:r>
      <w:r w:rsidR="00FF664E" w:rsidRPr="00244C6F">
        <w:rPr>
          <w:rFonts w:ascii="Calibri" w:hAnsi="Calibri" w:cs="Calibri"/>
        </w:rPr>
        <w:t>Vadovau</w:t>
      </w:r>
      <w:r w:rsidR="003B0C14" w:rsidRPr="00244C6F">
        <w:rPr>
          <w:rFonts w:ascii="Calibri" w:hAnsi="Calibri" w:cs="Calibri"/>
        </w:rPr>
        <w:t>damasi</w:t>
      </w:r>
      <w:r w:rsidR="00C00E1D" w:rsidRPr="00244C6F">
        <w:rPr>
          <w:rFonts w:ascii="Calibri" w:hAnsi="Calibri" w:cs="Calibri"/>
        </w:rPr>
        <w:t xml:space="preserve"> minėtu</w:t>
      </w:r>
      <w:r w:rsidR="00FF664E" w:rsidRPr="00244C6F">
        <w:rPr>
          <w:rFonts w:ascii="Calibri" w:hAnsi="Calibri" w:cs="Calibri"/>
        </w:rPr>
        <w:t xml:space="preserve"> įstatymu, </w:t>
      </w:r>
      <w:r w:rsidRPr="00244C6F">
        <w:rPr>
          <w:rFonts w:ascii="Calibri" w:hAnsi="Calibri" w:cs="Calibri"/>
        </w:rPr>
        <w:t xml:space="preserve">ministerija vykdo teismų sprendimus, kuriais nustatyti neteisėti valdžios institucijų ar jų pareigūnų veiksmai ir priteistas žalos atlyginimas. </w:t>
      </w:r>
    </w:p>
    <w:p w14:paraId="0C33ED0A" w14:textId="7A4F519C" w:rsidR="00C22B00" w:rsidRPr="00244C6F" w:rsidRDefault="00E16B4C" w:rsidP="00C14E2E">
      <w:pPr>
        <w:spacing w:after="0"/>
        <w:ind w:firstLine="720"/>
        <w:jc w:val="both"/>
        <w:rPr>
          <w:rFonts w:ascii="Calibri" w:hAnsi="Calibri" w:cs="Calibri"/>
        </w:rPr>
      </w:pPr>
      <w:r w:rsidRPr="00244C6F">
        <w:rPr>
          <w:rFonts w:ascii="Calibri" w:hAnsi="Calibri" w:cs="Calibri"/>
        </w:rPr>
        <w:t>Be to, p</w:t>
      </w:r>
      <w:r w:rsidR="006F3E31" w:rsidRPr="00244C6F">
        <w:rPr>
          <w:rFonts w:ascii="Calibri" w:hAnsi="Calibri" w:cs="Calibri"/>
        </w:rPr>
        <w:t>agal Žalos</w:t>
      </w:r>
      <w:r w:rsidR="00175219" w:rsidRPr="00244C6F">
        <w:rPr>
          <w:rFonts w:ascii="Calibri" w:hAnsi="Calibri" w:cs="Calibri"/>
        </w:rPr>
        <w:t xml:space="preserve"> ir atstovavimo</w:t>
      </w:r>
      <w:r w:rsidR="006F3E31" w:rsidRPr="00244C6F">
        <w:rPr>
          <w:rFonts w:ascii="Calibri" w:hAnsi="Calibri" w:cs="Calibri"/>
        </w:rPr>
        <w:t xml:space="preserve"> įstatymo </w:t>
      </w:r>
      <w:r w:rsidR="000D5CC1" w:rsidRPr="00244C6F">
        <w:rPr>
          <w:rFonts w:ascii="Calibri" w:hAnsi="Calibri" w:cs="Calibri"/>
        </w:rPr>
        <w:t>2</w:t>
      </w:r>
      <w:r w:rsidR="006F3E31" w:rsidRPr="00244C6F">
        <w:rPr>
          <w:rFonts w:ascii="Calibri" w:hAnsi="Calibri" w:cs="Calibri"/>
        </w:rPr>
        <w:t xml:space="preserve"> straipsn</w:t>
      </w:r>
      <w:r w:rsidR="000D5CC1" w:rsidRPr="00244C6F">
        <w:rPr>
          <w:rFonts w:ascii="Calibri" w:hAnsi="Calibri" w:cs="Calibri"/>
        </w:rPr>
        <w:t>io 10 dalį</w:t>
      </w:r>
      <w:r w:rsidR="006F3E31" w:rsidRPr="00244C6F">
        <w:rPr>
          <w:rFonts w:ascii="Calibri" w:hAnsi="Calibri" w:cs="Calibri"/>
        </w:rPr>
        <w:t xml:space="preserve">, </w:t>
      </w:r>
      <w:r w:rsidR="00603332" w:rsidRPr="00244C6F">
        <w:rPr>
          <w:rFonts w:ascii="Calibri" w:hAnsi="Calibri" w:cs="Calibri"/>
        </w:rPr>
        <w:t>v</w:t>
      </w:r>
      <w:r w:rsidR="00781833" w:rsidRPr="00244C6F">
        <w:rPr>
          <w:rFonts w:ascii="Calibri" w:hAnsi="Calibri" w:cs="Calibri"/>
        </w:rPr>
        <w:t>aldžios institucija, kuriai dėl padarytos žalos atlyginimo yra iškelta byla, apie bylos iškėlimo faktą nedelsdama</w:t>
      </w:r>
      <w:r w:rsidR="00603332" w:rsidRPr="00244C6F">
        <w:rPr>
          <w:rFonts w:ascii="Calibri" w:hAnsi="Calibri" w:cs="Calibri"/>
        </w:rPr>
        <w:t xml:space="preserve"> pr</w:t>
      </w:r>
      <w:r w:rsidR="009A1B70" w:rsidRPr="00244C6F">
        <w:rPr>
          <w:rFonts w:ascii="Calibri" w:hAnsi="Calibri" w:cs="Calibri"/>
        </w:rPr>
        <w:t>i</w:t>
      </w:r>
      <w:r w:rsidR="00603332" w:rsidRPr="00244C6F">
        <w:rPr>
          <w:rFonts w:ascii="Calibri" w:hAnsi="Calibri" w:cs="Calibri"/>
        </w:rPr>
        <w:t>valo</w:t>
      </w:r>
      <w:r w:rsidR="00781833" w:rsidRPr="00244C6F">
        <w:rPr>
          <w:rFonts w:ascii="Calibri" w:hAnsi="Calibri" w:cs="Calibri"/>
        </w:rPr>
        <w:t xml:space="preserve"> raštu praneš</w:t>
      </w:r>
      <w:r w:rsidR="009A1B70" w:rsidRPr="00244C6F">
        <w:rPr>
          <w:rFonts w:ascii="Calibri" w:hAnsi="Calibri" w:cs="Calibri"/>
        </w:rPr>
        <w:t>ti</w:t>
      </w:r>
      <w:r w:rsidR="00781833" w:rsidRPr="00244C6F">
        <w:rPr>
          <w:rFonts w:ascii="Calibri" w:hAnsi="Calibri" w:cs="Calibri"/>
        </w:rPr>
        <w:t xml:space="preserve"> Teisingumo ministerijai</w:t>
      </w:r>
      <w:r w:rsidR="009A1B70" w:rsidRPr="00244C6F">
        <w:rPr>
          <w:rFonts w:ascii="Calibri" w:hAnsi="Calibri" w:cs="Calibri"/>
        </w:rPr>
        <w:t xml:space="preserve">. </w:t>
      </w:r>
      <w:r w:rsidR="00A97DC8" w:rsidRPr="00244C6F">
        <w:rPr>
          <w:rFonts w:ascii="Calibri" w:hAnsi="Calibri" w:cs="Calibri"/>
        </w:rPr>
        <w:t>Taigi ministerija ne tik užtikrina sprendimų įgyvendinimą, bet ir sistemingai kaupia informaciją</w:t>
      </w:r>
      <w:r w:rsidR="007467E0" w:rsidRPr="00244C6F">
        <w:rPr>
          <w:rStyle w:val="Puslapioinaosnuoroda"/>
          <w:rFonts w:ascii="Calibri" w:hAnsi="Calibri" w:cs="Calibri"/>
        </w:rPr>
        <w:footnoteReference w:id="1"/>
      </w:r>
      <w:r w:rsidR="00A97DC8" w:rsidRPr="00244C6F">
        <w:rPr>
          <w:rFonts w:ascii="Calibri" w:hAnsi="Calibri" w:cs="Calibri"/>
        </w:rPr>
        <w:t xml:space="preserve"> apie </w:t>
      </w:r>
      <w:r w:rsidRPr="00244C6F">
        <w:rPr>
          <w:rFonts w:ascii="Calibri" w:hAnsi="Calibri" w:cs="Calibri"/>
        </w:rPr>
        <w:t xml:space="preserve">naujai iškeltas bylas ir galimus valstybės neapibrėžtuosius finansinius įsipareigojimus bei apie </w:t>
      </w:r>
      <w:r w:rsidR="00A97DC8" w:rsidRPr="00244C6F">
        <w:rPr>
          <w:rFonts w:ascii="Calibri" w:hAnsi="Calibri" w:cs="Calibri"/>
        </w:rPr>
        <w:t>sprendimų</w:t>
      </w:r>
      <w:r w:rsidRPr="00244C6F">
        <w:rPr>
          <w:rFonts w:ascii="Calibri" w:hAnsi="Calibri" w:cs="Calibri"/>
        </w:rPr>
        <w:t xml:space="preserve"> valstybės deliktinės atsakomybės bylose</w:t>
      </w:r>
      <w:r w:rsidR="00A97DC8" w:rsidRPr="00244C6F">
        <w:rPr>
          <w:rFonts w:ascii="Calibri" w:hAnsi="Calibri" w:cs="Calibri"/>
        </w:rPr>
        <w:t xml:space="preserve"> skaičių, pobūdį</w:t>
      </w:r>
      <w:r w:rsidRPr="00244C6F">
        <w:rPr>
          <w:rFonts w:ascii="Calibri" w:hAnsi="Calibri" w:cs="Calibri"/>
        </w:rPr>
        <w:t>, gali pastebėti</w:t>
      </w:r>
      <w:r w:rsidR="00A97DC8" w:rsidRPr="00244C6F">
        <w:rPr>
          <w:rFonts w:ascii="Calibri" w:hAnsi="Calibri" w:cs="Calibri"/>
        </w:rPr>
        <w:t xml:space="preserve"> pasikartojančias situacijas, kurios lemia žalos atlyginimo pareigą.</w:t>
      </w:r>
      <w:r w:rsidR="00F23B58" w:rsidRPr="00244C6F">
        <w:rPr>
          <w:rFonts w:ascii="Calibri" w:hAnsi="Calibri" w:cs="Calibri"/>
        </w:rPr>
        <w:t xml:space="preserve"> </w:t>
      </w:r>
    </w:p>
    <w:p w14:paraId="53FCEF18" w14:textId="77777777" w:rsidR="005D5B16" w:rsidRPr="00244C6F" w:rsidRDefault="005D5B16" w:rsidP="002E641C">
      <w:pPr>
        <w:spacing w:after="0"/>
        <w:ind w:firstLine="720"/>
        <w:jc w:val="both"/>
        <w:rPr>
          <w:rFonts w:ascii="Calibri" w:hAnsi="Calibri" w:cs="Calibri"/>
        </w:rPr>
      </w:pPr>
    </w:p>
    <w:p w14:paraId="56C8A2EA" w14:textId="64826A1F" w:rsidR="005D5B16" w:rsidRPr="00244C6F" w:rsidRDefault="005D5B16" w:rsidP="00C14E2E">
      <w:pPr>
        <w:spacing w:after="0"/>
        <w:jc w:val="both"/>
        <w:rPr>
          <w:rFonts w:ascii="Calibri" w:hAnsi="Calibri" w:cs="Calibri"/>
          <w:color w:val="0070C0"/>
          <w:sz w:val="28"/>
          <w:szCs w:val="28"/>
        </w:rPr>
      </w:pPr>
      <w:r w:rsidRPr="00244C6F">
        <w:rPr>
          <w:rFonts w:ascii="Calibri" w:hAnsi="Calibri" w:cs="Calibri"/>
          <w:color w:val="0070C0"/>
          <w:sz w:val="28"/>
          <w:szCs w:val="28"/>
        </w:rPr>
        <w:lastRenderedPageBreak/>
        <w:t>Apžvalgos tikslas ir metodas</w:t>
      </w:r>
    </w:p>
    <w:p w14:paraId="54CCF302" w14:textId="77777777" w:rsidR="005D5B16" w:rsidRPr="00244C6F" w:rsidRDefault="005D5B16" w:rsidP="002E641C">
      <w:pPr>
        <w:spacing w:after="0"/>
        <w:ind w:firstLine="720"/>
        <w:jc w:val="both"/>
        <w:rPr>
          <w:rFonts w:ascii="Calibri" w:hAnsi="Calibri" w:cs="Calibri"/>
        </w:rPr>
      </w:pPr>
    </w:p>
    <w:p w14:paraId="41FD21CF" w14:textId="51CB854D" w:rsidR="00C426E7" w:rsidRPr="00244C6F" w:rsidRDefault="00825717" w:rsidP="00C14E2E">
      <w:pPr>
        <w:spacing w:after="0"/>
        <w:ind w:firstLine="720"/>
        <w:jc w:val="both"/>
        <w:rPr>
          <w:rFonts w:ascii="Calibri" w:hAnsi="Calibri" w:cs="Calibri"/>
        </w:rPr>
      </w:pPr>
      <w:r w:rsidRPr="00244C6F">
        <w:rPr>
          <w:rFonts w:ascii="Calibri" w:hAnsi="Calibri" w:cs="Calibri"/>
        </w:rPr>
        <w:t>Šios apžvalgos tikslas – įvertinti bylas, kuriose</w:t>
      </w:r>
      <w:r w:rsidR="00E16B4C" w:rsidRPr="00244C6F">
        <w:rPr>
          <w:rFonts w:ascii="Calibri" w:hAnsi="Calibri" w:cs="Calibri"/>
        </w:rPr>
        <w:t>, pirma,</w:t>
      </w:r>
      <w:r w:rsidRPr="00244C6F">
        <w:rPr>
          <w:rFonts w:ascii="Calibri" w:hAnsi="Calibri" w:cs="Calibri"/>
        </w:rPr>
        <w:t xml:space="preserve"> Teisingumo ministerija atliko valstybės atstovo funkciją</w:t>
      </w:r>
      <w:r w:rsidR="00E16B4C" w:rsidRPr="00244C6F">
        <w:rPr>
          <w:rFonts w:ascii="Calibri" w:hAnsi="Calibri" w:cs="Calibri"/>
        </w:rPr>
        <w:t>, ir, antra,</w:t>
      </w:r>
      <w:r w:rsidRPr="00244C6F">
        <w:rPr>
          <w:rFonts w:ascii="Calibri" w:hAnsi="Calibri" w:cs="Calibri"/>
        </w:rPr>
        <w:t xml:space="preserve"> vykdė teismo sprendimus. </w:t>
      </w:r>
      <w:r w:rsidR="001E36E7" w:rsidRPr="00244C6F">
        <w:rPr>
          <w:rFonts w:ascii="Calibri" w:hAnsi="Calibri" w:cs="Calibri"/>
        </w:rPr>
        <w:t>Apžvalgoje s</w:t>
      </w:r>
      <w:r w:rsidRPr="00244C6F">
        <w:rPr>
          <w:rFonts w:ascii="Calibri" w:hAnsi="Calibri" w:cs="Calibri"/>
        </w:rPr>
        <w:t xml:space="preserve">iekiama </w:t>
      </w:r>
      <w:r w:rsidR="00E16B4C" w:rsidRPr="00244C6F">
        <w:rPr>
          <w:rFonts w:ascii="Calibri" w:hAnsi="Calibri" w:cs="Calibri"/>
        </w:rPr>
        <w:t>apibendrinti valstybės neteisėt</w:t>
      </w:r>
      <w:r w:rsidR="003465A2" w:rsidRPr="00244C6F">
        <w:rPr>
          <w:rFonts w:ascii="Calibri" w:hAnsi="Calibri" w:cs="Calibri"/>
        </w:rPr>
        <w:t>ais</w:t>
      </w:r>
      <w:r w:rsidR="00E16B4C" w:rsidRPr="00244C6F">
        <w:rPr>
          <w:rFonts w:ascii="Calibri" w:hAnsi="Calibri" w:cs="Calibri"/>
        </w:rPr>
        <w:t xml:space="preserve"> veiksm</w:t>
      </w:r>
      <w:r w:rsidR="003465A2" w:rsidRPr="00244C6F">
        <w:rPr>
          <w:rFonts w:ascii="Calibri" w:hAnsi="Calibri" w:cs="Calibri"/>
        </w:rPr>
        <w:t>ais</w:t>
      </w:r>
      <w:r w:rsidR="001F5DF2" w:rsidRPr="00244C6F">
        <w:rPr>
          <w:rFonts w:ascii="Calibri" w:hAnsi="Calibri" w:cs="Calibri"/>
        </w:rPr>
        <w:t xml:space="preserve"> sukeltos žalos</w:t>
      </w:r>
      <w:r w:rsidR="00E16B4C" w:rsidRPr="00244C6F">
        <w:rPr>
          <w:rFonts w:ascii="Calibri" w:hAnsi="Calibri" w:cs="Calibri"/>
        </w:rPr>
        <w:t xml:space="preserve"> problematiką</w:t>
      </w:r>
      <w:r w:rsidR="001F5DF2" w:rsidRPr="00244C6F">
        <w:rPr>
          <w:rFonts w:ascii="Calibri" w:hAnsi="Calibri" w:cs="Calibri"/>
        </w:rPr>
        <w:t xml:space="preserve"> ir į</w:t>
      </w:r>
      <w:r w:rsidRPr="00244C6F">
        <w:rPr>
          <w:rFonts w:ascii="Calibri" w:hAnsi="Calibri" w:cs="Calibri"/>
        </w:rPr>
        <w:t>vertint</w:t>
      </w:r>
      <w:r w:rsidR="00CD642A" w:rsidRPr="00244C6F">
        <w:rPr>
          <w:rFonts w:ascii="Calibri" w:hAnsi="Calibri" w:cs="Calibri"/>
        </w:rPr>
        <w:t>i</w:t>
      </w:r>
      <w:r w:rsidRPr="00244C6F">
        <w:rPr>
          <w:rFonts w:ascii="Calibri" w:hAnsi="Calibri" w:cs="Calibri"/>
        </w:rPr>
        <w:t xml:space="preserve"> </w:t>
      </w:r>
      <w:r w:rsidR="00E16B4C" w:rsidRPr="00244C6F">
        <w:rPr>
          <w:rFonts w:ascii="Calibri" w:hAnsi="Calibri" w:cs="Calibri"/>
        </w:rPr>
        <w:t>atvejų pasikartojimą. Ši informacija gali būti naudinga</w:t>
      </w:r>
      <w:r w:rsidRPr="00244C6F">
        <w:rPr>
          <w:rFonts w:ascii="Calibri" w:hAnsi="Calibri" w:cs="Calibri"/>
        </w:rPr>
        <w:t xml:space="preserve"> </w:t>
      </w:r>
      <w:r w:rsidR="00E16B4C" w:rsidRPr="00244C6F">
        <w:rPr>
          <w:rFonts w:ascii="Calibri" w:hAnsi="Calibri" w:cs="Calibri"/>
        </w:rPr>
        <w:t>nustatant konkrečias teisinio reguliavimo spragas ar valstybės valdymo bei viešojo administravimo klaidas, paskatinti</w:t>
      </w:r>
      <w:r w:rsidR="002E0542" w:rsidRPr="00244C6F">
        <w:rPr>
          <w:rFonts w:ascii="Calibri" w:hAnsi="Calibri" w:cs="Calibri"/>
        </w:rPr>
        <w:t xml:space="preserve"> imtis atitinkamų </w:t>
      </w:r>
      <w:r w:rsidRPr="00244C6F">
        <w:rPr>
          <w:rFonts w:ascii="Calibri" w:hAnsi="Calibri" w:cs="Calibri"/>
        </w:rPr>
        <w:t>priemon</w:t>
      </w:r>
      <w:r w:rsidR="002C035E" w:rsidRPr="00244C6F">
        <w:rPr>
          <w:rFonts w:ascii="Calibri" w:hAnsi="Calibri" w:cs="Calibri"/>
        </w:rPr>
        <w:t>ių</w:t>
      </w:r>
      <w:r w:rsidR="00E16B4C" w:rsidRPr="00244C6F">
        <w:rPr>
          <w:rFonts w:ascii="Calibri" w:hAnsi="Calibri" w:cs="Calibri"/>
        </w:rPr>
        <w:t>, kad ateityje panašių atvejų mažėtų</w:t>
      </w:r>
      <w:r w:rsidRPr="00244C6F">
        <w:rPr>
          <w:rFonts w:ascii="Calibri" w:hAnsi="Calibri" w:cs="Calibri"/>
        </w:rPr>
        <w:t>.</w:t>
      </w:r>
      <w:r w:rsidR="00070A2C" w:rsidRPr="00244C6F">
        <w:rPr>
          <w:rFonts w:ascii="Calibri" w:hAnsi="Calibri" w:cs="Calibri"/>
        </w:rPr>
        <w:t xml:space="preserve"> </w:t>
      </w:r>
      <w:r w:rsidR="0006445B" w:rsidRPr="00244C6F">
        <w:rPr>
          <w:rFonts w:ascii="Calibri" w:hAnsi="Calibri" w:cs="Calibri"/>
        </w:rPr>
        <w:t>Teisingumo ministerij</w:t>
      </w:r>
      <w:r w:rsidR="00684D65" w:rsidRPr="00244C6F">
        <w:rPr>
          <w:rFonts w:ascii="Calibri" w:hAnsi="Calibri" w:cs="Calibri"/>
        </w:rPr>
        <w:t>a</w:t>
      </w:r>
      <w:r w:rsidR="00DD7601" w:rsidRPr="00244C6F">
        <w:rPr>
          <w:rFonts w:ascii="Calibri" w:hAnsi="Calibri" w:cs="Calibri"/>
        </w:rPr>
        <w:t>,</w:t>
      </w:r>
      <w:r w:rsidR="00684D65" w:rsidRPr="00244C6F">
        <w:rPr>
          <w:rFonts w:ascii="Calibri" w:hAnsi="Calibri" w:cs="Calibri"/>
        </w:rPr>
        <w:t xml:space="preserve"> stebėdama</w:t>
      </w:r>
      <w:r w:rsidR="00A35D86" w:rsidRPr="00244C6F">
        <w:rPr>
          <w:rFonts w:ascii="Calibri" w:hAnsi="Calibri" w:cs="Calibri"/>
        </w:rPr>
        <w:t xml:space="preserve"> tam tikras</w:t>
      </w:r>
      <w:r w:rsidR="00920DF6" w:rsidRPr="00244C6F">
        <w:rPr>
          <w:rFonts w:ascii="Calibri" w:hAnsi="Calibri" w:cs="Calibri"/>
        </w:rPr>
        <w:t xml:space="preserve"> </w:t>
      </w:r>
      <w:r w:rsidR="00E16B4C" w:rsidRPr="00244C6F">
        <w:rPr>
          <w:rFonts w:ascii="Calibri" w:hAnsi="Calibri" w:cs="Calibri"/>
        </w:rPr>
        <w:t xml:space="preserve">valstybės deliktinės atsakomybės bylose </w:t>
      </w:r>
      <w:r w:rsidR="00920DF6" w:rsidRPr="00244C6F">
        <w:rPr>
          <w:rFonts w:ascii="Calibri" w:hAnsi="Calibri" w:cs="Calibri"/>
        </w:rPr>
        <w:t xml:space="preserve">nustatomų neteisėtų veiksmų tendencijas, </w:t>
      </w:r>
      <w:r w:rsidR="00761C0D" w:rsidRPr="00244C6F">
        <w:rPr>
          <w:rFonts w:ascii="Calibri" w:hAnsi="Calibri" w:cs="Calibri"/>
        </w:rPr>
        <w:t>įžve</w:t>
      </w:r>
      <w:r w:rsidR="009C48D7" w:rsidRPr="00244C6F">
        <w:rPr>
          <w:rFonts w:ascii="Calibri" w:hAnsi="Calibri" w:cs="Calibri"/>
        </w:rPr>
        <w:t xml:space="preserve">lgia </w:t>
      </w:r>
      <w:r w:rsidR="000C1DD3" w:rsidRPr="00244C6F">
        <w:rPr>
          <w:rFonts w:ascii="Calibri" w:hAnsi="Calibri" w:cs="Calibri"/>
        </w:rPr>
        <w:t>pasikartojančius valdžios institucijų neteisėtus veiksmus,</w:t>
      </w:r>
      <w:r w:rsidR="00277677" w:rsidRPr="00244C6F">
        <w:rPr>
          <w:rFonts w:ascii="Calibri" w:hAnsi="Calibri" w:cs="Calibri"/>
        </w:rPr>
        <w:t xml:space="preserve"> kurie neišvengiamai turi įtakos </w:t>
      </w:r>
      <w:r w:rsidR="00E16B4C" w:rsidRPr="00244C6F">
        <w:rPr>
          <w:rFonts w:ascii="Calibri" w:hAnsi="Calibri" w:cs="Calibri"/>
        </w:rPr>
        <w:t xml:space="preserve">ir sisteminiams </w:t>
      </w:r>
      <w:r w:rsidR="00B65EC7" w:rsidRPr="00244C6F">
        <w:rPr>
          <w:rFonts w:ascii="Calibri" w:hAnsi="Calibri" w:cs="Calibri"/>
        </w:rPr>
        <w:t>žmogaus teisių pažeidimams.</w:t>
      </w:r>
      <w:r w:rsidR="006C60E6" w:rsidRPr="00244C6F">
        <w:rPr>
          <w:rFonts w:ascii="Calibri" w:hAnsi="Calibri" w:cs="Calibri"/>
        </w:rPr>
        <w:t xml:space="preserve"> </w:t>
      </w:r>
      <w:r w:rsidR="00E16B4C" w:rsidRPr="00244C6F">
        <w:rPr>
          <w:rFonts w:ascii="Calibri" w:hAnsi="Calibri" w:cs="Calibri"/>
        </w:rPr>
        <w:t xml:space="preserve">Siekiant didinti visuomenės pasitikėjimą valdžios institucijomis, </w:t>
      </w:r>
      <w:r w:rsidR="00CD642A" w:rsidRPr="00244C6F">
        <w:rPr>
          <w:rFonts w:ascii="Calibri" w:hAnsi="Calibri" w:cs="Calibri"/>
        </w:rPr>
        <w:t xml:space="preserve">svarbu </w:t>
      </w:r>
      <w:r w:rsidR="00554133" w:rsidRPr="00244C6F">
        <w:rPr>
          <w:rFonts w:ascii="Calibri" w:hAnsi="Calibri" w:cs="Calibri"/>
        </w:rPr>
        <w:t>ne tik</w:t>
      </w:r>
      <w:r w:rsidR="00CD642A" w:rsidRPr="00244C6F">
        <w:rPr>
          <w:rFonts w:ascii="Calibri" w:hAnsi="Calibri" w:cs="Calibri"/>
        </w:rPr>
        <w:t xml:space="preserve"> užtikrinti,</w:t>
      </w:r>
      <w:r w:rsidR="00554133" w:rsidRPr="00244C6F">
        <w:rPr>
          <w:rFonts w:ascii="Calibri" w:hAnsi="Calibri" w:cs="Calibri"/>
        </w:rPr>
        <w:t xml:space="preserve"> kad teismų sprendimai </w:t>
      </w:r>
      <w:r w:rsidR="00E16B4C" w:rsidRPr="00244C6F">
        <w:rPr>
          <w:rFonts w:ascii="Calibri" w:hAnsi="Calibri" w:cs="Calibri"/>
        </w:rPr>
        <w:t>bū</w:t>
      </w:r>
      <w:r w:rsidR="00554133" w:rsidRPr="00244C6F">
        <w:rPr>
          <w:rFonts w:ascii="Calibri" w:hAnsi="Calibri" w:cs="Calibri"/>
        </w:rPr>
        <w:t>tų vykd</w:t>
      </w:r>
      <w:r w:rsidR="00636B2B" w:rsidRPr="00244C6F">
        <w:rPr>
          <w:rFonts w:ascii="Calibri" w:hAnsi="Calibri" w:cs="Calibri"/>
        </w:rPr>
        <w:t>omi</w:t>
      </w:r>
      <w:r w:rsidR="00554133" w:rsidRPr="00244C6F">
        <w:rPr>
          <w:rFonts w:ascii="Calibri" w:hAnsi="Calibri" w:cs="Calibri"/>
        </w:rPr>
        <w:t xml:space="preserve"> laiku</w:t>
      </w:r>
      <w:r w:rsidR="004203BE" w:rsidRPr="00244C6F">
        <w:rPr>
          <w:rFonts w:ascii="Calibri" w:hAnsi="Calibri" w:cs="Calibri"/>
        </w:rPr>
        <w:t xml:space="preserve">, </w:t>
      </w:r>
      <w:r w:rsidR="00636B2B" w:rsidRPr="00244C6F">
        <w:rPr>
          <w:rFonts w:ascii="Calibri" w:hAnsi="Calibri" w:cs="Calibri"/>
        </w:rPr>
        <w:t xml:space="preserve">bet </w:t>
      </w:r>
      <w:r w:rsidR="004203BE" w:rsidRPr="00244C6F">
        <w:rPr>
          <w:rFonts w:ascii="Calibri" w:hAnsi="Calibri" w:cs="Calibri"/>
        </w:rPr>
        <w:t xml:space="preserve">ir analizuoti jų įtaką teisinei aplinkai ir žmogaus teisėms, </w:t>
      </w:r>
      <w:r w:rsidR="00636B2B" w:rsidRPr="00244C6F">
        <w:rPr>
          <w:rFonts w:ascii="Calibri" w:hAnsi="Calibri" w:cs="Calibri"/>
        </w:rPr>
        <w:t xml:space="preserve">o prireikus </w:t>
      </w:r>
      <w:r w:rsidR="004203BE" w:rsidRPr="00244C6F">
        <w:rPr>
          <w:rFonts w:ascii="Calibri" w:hAnsi="Calibri" w:cs="Calibri"/>
        </w:rPr>
        <w:t>imtis atitinkamų priemonių</w:t>
      </w:r>
      <w:r w:rsidR="00040F47" w:rsidRPr="00244C6F">
        <w:rPr>
          <w:rFonts w:ascii="Calibri" w:hAnsi="Calibri" w:cs="Calibri"/>
        </w:rPr>
        <w:t>.</w:t>
      </w:r>
    </w:p>
    <w:p w14:paraId="66404A1C" w14:textId="3593F0FC" w:rsidR="006F153C" w:rsidRPr="00244C6F" w:rsidRDefault="00122972" w:rsidP="00C14E2E">
      <w:pPr>
        <w:spacing w:after="0"/>
        <w:ind w:firstLine="720"/>
        <w:jc w:val="both"/>
        <w:rPr>
          <w:rFonts w:ascii="Calibri" w:hAnsi="Calibri" w:cs="Calibri"/>
        </w:rPr>
      </w:pPr>
      <w:r w:rsidRPr="00244C6F">
        <w:rPr>
          <w:rFonts w:ascii="Calibri" w:hAnsi="Calibri" w:cs="Calibri"/>
        </w:rPr>
        <w:t>Apžvalga buvo parengta</w:t>
      </w:r>
      <w:r w:rsidR="00E1612B" w:rsidRPr="00244C6F">
        <w:rPr>
          <w:rFonts w:ascii="Calibri" w:hAnsi="Calibri" w:cs="Calibri"/>
        </w:rPr>
        <w:t xml:space="preserve"> pasitelkiant</w:t>
      </w:r>
      <w:r w:rsidR="00A02C3A" w:rsidRPr="00244C6F">
        <w:rPr>
          <w:rFonts w:ascii="Calibri" w:hAnsi="Calibri" w:cs="Calibri"/>
        </w:rPr>
        <w:t xml:space="preserve"> </w:t>
      </w:r>
      <w:r w:rsidR="004203BE" w:rsidRPr="00244C6F">
        <w:rPr>
          <w:rFonts w:ascii="Calibri" w:hAnsi="Calibri" w:cs="Calibri"/>
        </w:rPr>
        <w:t>statistinių duomenų analizės ir jų kokybinio vertinimo</w:t>
      </w:r>
      <w:r w:rsidR="00A02C3A" w:rsidRPr="00244C6F">
        <w:rPr>
          <w:rFonts w:ascii="Calibri" w:hAnsi="Calibri" w:cs="Calibri"/>
        </w:rPr>
        <w:t xml:space="preserve"> metodu</w:t>
      </w:r>
      <w:r w:rsidR="007C34F4" w:rsidRPr="00244C6F">
        <w:rPr>
          <w:rFonts w:ascii="Calibri" w:hAnsi="Calibri" w:cs="Calibri"/>
        </w:rPr>
        <w:t>s</w:t>
      </w:r>
      <w:r w:rsidR="003F20CE" w:rsidRPr="00244C6F">
        <w:rPr>
          <w:rFonts w:ascii="Calibri" w:hAnsi="Calibri" w:cs="Calibri"/>
        </w:rPr>
        <w:t xml:space="preserve">, </w:t>
      </w:r>
      <w:r w:rsidR="00254CD0" w:rsidRPr="00244C6F">
        <w:rPr>
          <w:rFonts w:ascii="Calibri" w:hAnsi="Calibri" w:cs="Calibri"/>
        </w:rPr>
        <w:t>analizuojant</w:t>
      </w:r>
      <w:r w:rsidRPr="00244C6F">
        <w:rPr>
          <w:rFonts w:ascii="Calibri" w:hAnsi="Calibri" w:cs="Calibri"/>
        </w:rPr>
        <w:t xml:space="preserve"> </w:t>
      </w:r>
      <w:r w:rsidR="006524E4" w:rsidRPr="00244C6F">
        <w:rPr>
          <w:rFonts w:ascii="Calibri" w:hAnsi="Calibri" w:cs="Calibri"/>
        </w:rPr>
        <w:t xml:space="preserve">Teisingumo ministerijos </w:t>
      </w:r>
      <w:r w:rsidR="004203BE" w:rsidRPr="00244C6F">
        <w:rPr>
          <w:rFonts w:ascii="Calibri" w:hAnsi="Calibri" w:cs="Calibri"/>
        </w:rPr>
        <w:t xml:space="preserve">valdomus </w:t>
      </w:r>
      <w:r w:rsidR="007C34F4" w:rsidRPr="00244C6F">
        <w:rPr>
          <w:rFonts w:ascii="Calibri" w:hAnsi="Calibri" w:cs="Calibri"/>
        </w:rPr>
        <w:t xml:space="preserve">duomenis </w:t>
      </w:r>
      <w:r w:rsidR="00C043AB" w:rsidRPr="00244C6F">
        <w:rPr>
          <w:rFonts w:ascii="Calibri" w:hAnsi="Calibri" w:cs="Calibri"/>
        </w:rPr>
        <w:t xml:space="preserve">(įskaitant ir tuos duomenis, kuriuos pateikė kitos valstybės institucijos, vadovaudamosi teisės aktuose nustatyta pareiga teikti informaciją apie nagrinėjamas bylas, priimtus teismo sprendimus) </w:t>
      </w:r>
      <w:r w:rsidR="007C34F4" w:rsidRPr="00244C6F">
        <w:rPr>
          <w:rFonts w:ascii="Calibri" w:hAnsi="Calibri" w:cs="Calibri"/>
        </w:rPr>
        <w:t>apie vykdytinus sprendimus</w:t>
      </w:r>
      <w:r w:rsidR="00C043AB" w:rsidRPr="00244C6F">
        <w:rPr>
          <w:rFonts w:ascii="Calibri" w:hAnsi="Calibri" w:cs="Calibri"/>
        </w:rPr>
        <w:t xml:space="preserve">, </w:t>
      </w:r>
      <w:r w:rsidR="00E910C2" w:rsidRPr="00244C6F">
        <w:rPr>
          <w:rFonts w:ascii="Calibri" w:hAnsi="Calibri" w:cs="Calibri"/>
        </w:rPr>
        <w:t>kuriais buvo pripaži</w:t>
      </w:r>
      <w:r w:rsidR="00B23242" w:rsidRPr="00244C6F">
        <w:rPr>
          <w:rFonts w:ascii="Calibri" w:hAnsi="Calibri" w:cs="Calibri"/>
        </w:rPr>
        <w:t xml:space="preserve">nti valdžios institucijų neteisėti veiksmai. </w:t>
      </w:r>
      <w:r w:rsidR="004203BE" w:rsidRPr="00244C6F">
        <w:rPr>
          <w:rFonts w:ascii="Calibri" w:hAnsi="Calibri" w:cs="Calibri"/>
        </w:rPr>
        <w:t>D</w:t>
      </w:r>
      <w:r w:rsidRPr="00244C6F">
        <w:rPr>
          <w:rFonts w:ascii="Calibri" w:hAnsi="Calibri" w:cs="Calibri"/>
        </w:rPr>
        <w:t>uomenų analizės išsamumas ir tikslumas</w:t>
      </w:r>
      <w:r w:rsidR="004203BE" w:rsidRPr="00244C6F">
        <w:rPr>
          <w:rFonts w:ascii="Calibri" w:hAnsi="Calibri" w:cs="Calibri"/>
        </w:rPr>
        <w:t xml:space="preserve"> nėra baigtinis, </w:t>
      </w:r>
      <w:r w:rsidR="00636B2B" w:rsidRPr="00244C6F">
        <w:rPr>
          <w:rFonts w:ascii="Calibri" w:hAnsi="Calibri" w:cs="Calibri"/>
        </w:rPr>
        <w:t xml:space="preserve">nes </w:t>
      </w:r>
      <w:r w:rsidRPr="00244C6F">
        <w:rPr>
          <w:rFonts w:ascii="Calibri" w:hAnsi="Calibri" w:cs="Calibri"/>
        </w:rPr>
        <w:t>priklauso</w:t>
      </w:r>
      <w:r w:rsidR="00D95336" w:rsidRPr="00244C6F">
        <w:rPr>
          <w:rFonts w:ascii="Calibri" w:hAnsi="Calibri" w:cs="Calibri"/>
        </w:rPr>
        <w:t xml:space="preserve"> ir</w:t>
      </w:r>
      <w:r w:rsidRPr="00244C6F">
        <w:rPr>
          <w:rFonts w:ascii="Calibri" w:hAnsi="Calibri" w:cs="Calibri"/>
        </w:rPr>
        <w:t xml:space="preserve"> nuo to, ar institucijos laiku ir tiksliai pateikė</w:t>
      </w:r>
      <w:r w:rsidR="000F5F1B" w:rsidRPr="00244C6F">
        <w:rPr>
          <w:rFonts w:ascii="Calibri" w:hAnsi="Calibri" w:cs="Calibri"/>
        </w:rPr>
        <w:t xml:space="preserve"> analizuojamus</w:t>
      </w:r>
      <w:r w:rsidRPr="00244C6F">
        <w:rPr>
          <w:rFonts w:ascii="Calibri" w:hAnsi="Calibri" w:cs="Calibri"/>
        </w:rPr>
        <w:t xml:space="preserve"> duomenis. </w:t>
      </w:r>
      <w:r w:rsidR="000F5F1B" w:rsidRPr="00244C6F">
        <w:rPr>
          <w:rFonts w:ascii="Calibri" w:hAnsi="Calibri" w:cs="Calibri"/>
        </w:rPr>
        <w:t>Dėl šios priežasties</w:t>
      </w:r>
      <w:r w:rsidRPr="00244C6F">
        <w:rPr>
          <w:rFonts w:ascii="Calibri" w:hAnsi="Calibri" w:cs="Calibri"/>
        </w:rPr>
        <w:t xml:space="preserve"> apžvalgoje nebūtinai atsispindės visi faktiškai egzistavę atvejai</w:t>
      </w:r>
      <w:r w:rsidR="00636B2B" w:rsidRPr="00244C6F">
        <w:rPr>
          <w:rFonts w:ascii="Calibri" w:hAnsi="Calibri" w:cs="Calibri"/>
        </w:rPr>
        <w:t xml:space="preserve">, taip pat </w:t>
      </w:r>
      <w:r w:rsidR="004203BE" w:rsidRPr="00244C6F">
        <w:rPr>
          <w:rFonts w:ascii="Calibri" w:hAnsi="Calibri" w:cs="Calibri"/>
        </w:rPr>
        <w:t>galimi nedideli nuokrypiai</w:t>
      </w:r>
      <w:r w:rsidRPr="00244C6F">
        <w:rPr>
          <w:rFonts w:ascii="Calibri" w:hAnsi="Calibri" w:cs="Calibri"/>
        </w:rPr>
        <w:t xml:space="preserve">, tačiau </w:t>
      </w:r>
      <w:r w:rsidR="004203BE" w:rsidRPr="00244C6F">
        <w:rPr>
          <w:rFonts w:ascii="Calibri" w:hAnsi="Calibri" w:cs="Calibri"/>
        </w:rPr>
        <w:t>turimos informacijos pakanka duomenų kokybinei analizei atlikti</w:t>
      </w:r>
      <w:r w:rsidR="00636B2B" w:rsidRPr="00244C6F">
        <w:rPr>
          <w:rFonts w:ascii="Calibri" w:hAnsi="Calibri" w:cs="Calibri"/>
        </w:rPr>
        <w:t xml:space="preserve"> bei </w:t>
      </w:r>
      <w:r w:rsidRPr="00244C6F">
        <w:rPr>
          <w:rFonts w:ascii="Calibri" w:hAnsi="Calibri" w:cs="Calibri"/>
        </w:rPr>
        <w:t>aktuali</w:t>
      </w:r>
      <w:r w:rsidR="00636B2B" w:rsidRPr="00244C6F">
        <w:rPr>
          <w:rFonts w:ascii="Calibri" w:hAnsi="Calibri" w:cs="Calibri"/>
        </w:rPr>
        <w:t>oms</w:t>
      </w:r>
      <w:r w:rsidRPr="00244C6F">
        <w:rPr>
          <w:rFonts w:ascii="Calibri" w:hAnsi="Calibri" w:cs="Calibri"/>
        </w:rPr>
        <w:t xml:space="preserve"> </w:t>
      </w:r>
      <w:r w:rsidR="004203BE" w:rsidRPr="00244C6F">
        <w:rPr>
          <w:rFonts w:ascii="Calibri" w:hAnsi="Calibri" w:cs="Calibri"/>
        </w:rPr>
        <w:t>ir pagrįst</w:t>
      </w:r>
      <w:r w:rsidR="00636B2B" w:rsidRPr="00244C6F">
        <w:rPr>
          <w:rFonts w:ascii="Calibri" w:hAnsi="Calibri" w:cs="Calibri"/>
        </w:rPr>
        <w:t>oms</w:t>
      </w:r>
      <w:r w:rsidR="004203BE" w:rsidRPr="00244C6F">
        <w:rPr>
          <w:rFonts w:ascii="Calibri" w:hAnsi="Calibri" w:cs="Calibri"/>
        </w:rPr>
        <w:t xml:space="preserve"> </w:t>
      </w:r>
      <w:r w:rsidRPr="00244C6F">
        <w:rPr>
          <w:rFonts w:ascii="Calibri" w:hAnsi="Calibri" w:cs="Calibri"/>
        </w:rPr>
        <w:t>įžvalg</w:t>
      </w:r>
      <w:r w:rsidR="00636B2B" w:rsidRPr="00244C6F">
        <w:rPr>
          <w:rFonts w:ascii="Calibri" w:hAnsi="Calibri" w:cs="Calibri"/>
        </w:rPr>
        <w:t>oms suformuluoti</w:t>
      </w:r>
      <w:r w:rsidRPr="00244C6F">
        <w:rPr>
          <w:rFonts w:ascii="Calibri" w:hAnsi="Calibri" w:cs="Calibri"/>
        </w:rPr>
        <w:t>.</w:t>
      </w:r>
    </w:p>
    <w:p w14:paraId="4B2607F3" w14:textId="05C99BAF" w:rsidR="00D059E3" w:rsidRPr="00244C6F" w:rsidRDefault="00D059E3" w:rsidP="00C14E2E">
      <w:pPr>
        <w:spacing w:after="0"/>
        <w:ind w:firstLine="720"/>
        <w:jc w:val="both"/>
        <w:rPr>
          <w:rFonts w:ascii="Calibri" w:hAnsi="Calibri" w:cs="Calibri"/>
        </w:rPr>
      </w:pPr>
      <w:r w:rsidRPr="00244C6F">
        <w:rPr>
          <w:rFonts w:ascii="Calibri" w:hAnsi="Calibri" w:cs="Calibri"/>
        </w:rPr>
        <w:t xml:space="preserve">Apžvalga </w:t>
      </w:r>
      <w:r w:rsidR="0031406D" w:rsidRPr="00244C6F">
        <w:rPr>
          <w:rFonts w:ascii="Calibri" w:hAnsi="Calibri" w:cs="Calibri"/>
        </w:rPr>
        <w:t>n</w:t>
      </w:r>
      <w:r w:rsidR="00DC1D95" w:rsidRPr="00244C6F">
        <w:rPr>
          <w:rFonts w:ascii="Calibri" w:hAnsi="Calibri" w:cs="Calibri"/>
        </w:rPr>
        <w:t>ėra laikytina</w:t>
      </w:r>
      <w:r w:rsidR="0031406D" w:rsidRPr="00244C6F">
        <w:rPr>
          <w:rFonts w:ascii="Calibri" w:hAnsi="Calibri" w:cs="Calibri"/>
        </w:rPr>
        <w:t xml:space="preserve"> </w:t>
      </w:r>
      <w:r w:rsidRPr="00244C6F">
        <w:rPr>
          <w:rFonts w:ascii="Calibri" w:hAnsi="Calibri" w:cs="Calibri"/>
        </w:rPr>
        <w:t>institucijos oficiali</w:t>
      </w:r>
      <w:r w:rsidR="00DC1D95" w:rsidRPr="00244C6F">
        <w:rPr>
          <w:rFonts w:ascii="Calibri" w:hAnsi="Calibri" w:cs="Calibri"/>
        </w:rPr>
        <w:t>a</w:t>
      </w:r>
      <w:r w:rsidRPr="00244C6F">
        <w:rPr>
          <w:rFonts w:ascii="Calibri" w:hAnsi="Calibri" w:cs="Calibri"/>
        </w:rPr>
        <w:t xml:space="preserve"> nuomon</w:t>
      </w:r>
      <w:r w:rsidR="00DC1D95" w:rsidRPr="00244C6F">
        <w:rPr>
          <w:rFonts w:ascii="Calibri" w:hAnsi="Calibri" w:cs="Calibri"/>
        </w:rPr>
        <w:t>e</w:t>
      </w:r>
      <w:r w:rsidR="002060E0" w:rsidRPr="00244C6F">
        <w:rPr>
          <w:rFonts w:ascii="Calibri" w:hAnsi="Calibri" w:cs="Calibri"/>
        </w:rPr>
        <w:t xml:space="preserve"> ar teisės</w:t>
      </w:r>
      <w:r w:rsidRPr="00244C6F">
        <w:rPr>
          <w:rFonts w:ascii="Calibri" w:hAnsi="Calibri" w:cs="Calibri"/>
        </w:rPr>
        <w:t xml:space="preserve"> </w:t>
      </w:r>
      <w:r w:rsidR="00F07934" w:rsidRPr="00244C6F">
        <w:rPr>
          <w:rFonts w:ascii="Calibri" w:hAnsi="Calibri" w:cs="Calibri"/>
        </w:rPr>
        <w:t>aktų</w:t>
      </w:r>
      <w:r w:rsidR="002060E0" w:rsidRPr="00244C6F">
        <w:rPr>
          <w:rFonts w:ascii="Calibri" w:hAnsi="Calibri" w:cs="Calibri"/>
        </w:rPr>
        <w:t xml:space="preserve"> aiškinim</w:t>
      </w:r>
      <w:r w:rsidR="00DC1D95" w:rsidRPr="00244C6F">
        <w:rPr>
          <w:rFonts w:ascii="Calibri" w:hAnsi="Calibri" w:cs="Calibri"/>
        </w:rPr>
        <w:t xml:space="preserve">u – tai informacinio pobūdžio </w:t>
      </w:r>
      <w:r w:rsidR="002C5A82" w:rsidRPr="00244C6F">
        <w:rPr>
          <w:rFonts w:ascii="Calibri" w:hAnsi="Calibri" w:cs="Calibri"/>
        </w:rPr>
        <w:t>dokumentas</w:t>
      </w:r>
      <w:r w:rsidR="00DC1D95" w:rsidRPr="00244C6F">
        <w:rPr>
          <w:rFonts w:ascii="Calibri" w:hAnsi="Calibri" w:cs="Calibri"/>
        </w:rPr>
        <w:t xml:space="preserve">, kuriame </w:t>
      </w:r>
      <w:r w:rsidR="00A20D25" w:rsidRPr="00244C6F">
        <w:rPr>
          <w:rFonts w:ascii="Calibri" w:hAnsi="Calibri" w:cs="Calibri"/>
        </w:rPr>
        <w:t>pateikiam</w:t>
      </w:r>
      <w:r w:rsidR="00E22C5B" w:rsidRPr="00244C6F">
        <w:rPr>
          <w:rFonts w:ascii="Calibri" w:hAnsi="Calibri" w:cs="Calibri"/>
        </w:rPr>
        <w:t>i</w:t>
      </w:r>
      <w:r w:rsidR="006A5397" w:rsidRPr="00244C6F">
        <w:rPr>
          <w:rFonts w:ascii="Calibri" w:hAnsi="Calibri" w:cs="Calibri"/>
        </w:rPr>
        <w:t xml:space="preserve"> Teisingumo ministerijos</w:t>
      </w:r>
      <w:r w:rsidR="00ED5F49" w:rsidRPr="00244C6F">
        <w:rPr>
          <w:rFonts w:ascii="Calibri" w:hAnsi="Calibri" w:cs="Calibri"/>
        </w:rPr>
        <w:t xml:space="preserve"> darbuotojų atlikti ministerijos </w:t>
      </w:r>
      <w:r w:rsidR="00E22C5B" w:rsidRPr="00244C6F">
        <w:rPr>
          <w:rFonts w:ascii="Calibri" w:hAnsi="Calibri" w:cs="Calibri"/>
        </w:rPr>
        <w:t>kaupiamų duomenų</w:t>
      </w:r>
      <w:r w:rsidR="00ED5F49" w:rsidRPr="00244C6F">
        <w:rPr>
          <w:rFonts w:ascii="Calibri" w:hAnsi="Calibri" w:cs="Calibri"/>
        </w:rPr>
        <w:t xml:space="preserve"> apibendrinimai</w:t>
      </w:r>
      <w:r w:rsidR="00E22C5B" w:rsidRPr="00244C6F">
        <w:rPr>
          <w:rFonts w:ascii="Calibri" w:hAnsi="Calibri" w:cs="Calibri"/>
        </w:rPr>
        <w:t>.</w:t>
      </w:r>
    </w:p>
    <w:p w14:paraId="56FE8C8F" w14:textId="77777777" w:rsidR="00A35D86" w:rsidRPr="002E641C" w:rsidRDefault="00A35D86" w:rsidP="002326E7">
      <w:pPr>
        <w:spacing w:after="0"/>
        <w:ind w:firstLine="720"/>
        <w:jc w:val="both"/>
        <w:rPr>
          <w:rFonts w:ascii="Calibri" w:hAnsi="Calibri" w:cs="Calibri"/>
        </w:rPr>
      </w:pPr>
    </w:p>
    <w:p w14:paraId="00D1621D" w14:textId="77777777" w:rsidR="00C426E7" w:rsidRPr="00244C6F" w:rsidRDefault="00C426E7">
      <w:pPr>
        <w:rPr>
          <w:rFonts w:ascii="Calibri" w:hAnsi="Calibri" w:cs="Calibri"/>
          <w:color w:val="0070C0"/>
          <w:sz w:val="48"/>
          <w:szCs w:val="48"/>
        </w:rPr>
      </w:pPr>
      <w:r w:rsidRPr="00244C6F">
        <w:rPr>
          <w:rFonts w:ascii="Calibri" w:hAnsi="Calibri" w:cs="Calibri"/>
          <w:color w:val="0070C0"/>
          <w:sz w:val="48"/>
          <w:szCs w:val="48"/>
        </w:rPr>
        <w:br w:type="page"/>
      </w:r>
    </w:p>
    <w:p w14:paraId="6815F61B" w14:textId="22664B90" w:rsidR="005B3469" w:rsidRPr="00244C6F" w:rsidRDefault="000D0416" w:rsidP="009C1403">
      <w:pPr>
        <w:rPr>
          <w:rFonts w:ascii="Calibri" w:hAnsi="Calibri" w:cs="Calibri"/>
          <w:color w:val="0070C0"/>
          <w:sz w:val="48"/>
          <w:szCs w:val="48"/>
        </w:rPr>
      </w:pPr>
      <w:r w:rsidRPr="00244C6F">
        <w:rPr>
          <w:rFonts w:ascii="Calibri" w:hAnsi="Calibri" w:cs="Calibri"/>
          <w:color w:val="0070C0"/>
          <w:sz w:val="48"/>
          <w:szCs w:val="48"/>
        </w:rPr>
        <w:lastRenderedPageBreak/>
        <w:t>2024 m</w:t>
      </w:r>
      <w:r w:rsidR="00B80D6E" w:rsidRPr="00244C6F">
        <w:rPr>
          <w:rFonts w:ascii="Calibri" w:hAnsi="Calibri" w:cs="Calibri"/>
          <w:color w:val="0070C0"/>
          <w:sz w:val="48"/>
          <w:szCs w:val="48"/>
        </w:rPr>
        <w:t>etų</w:t>
      </w:r>
      <w:r w:rsidRPr="00244C6F">
        <w:rPr>
          <w:rFonts w:ascii="Calibri" w:hAnsi="Calibri" w:cs="Calibri"/>
          <w:color w:val="0070C0"/>
          <w:sz w:val="48"/>
          <w:szCs w:val="48"/>
        </w:rPr>
        <w:t xml:space="preserve"> </w:t>
      </w:r>
      <w:r w:rsidR="007B1FFB" w:rsidRPr="00244C6F">
        <w:rPr>
          <w:rFonts w:ascii="Calibri" w:hAnsi="Calibri" w:cs="Calibri"/>
          <w:color w:val="0070C0"/>
          <w:sz w:val="48"/>
          <w:szCs w:val="48"/>
        </w:rPr>
        <w:t>reikšmingi duomenys</w:t>
      </w:r>
      <w:r w:rsidRPr="00244C6F">
        <w:rPr>
          <w:rFonts w:ascii="Calibri" w:hAnsi="Calibri" w:cs="Calibri"/>
          <w:color w:val="0070C0"/>
          <w:sz w:val="48"/>
          <w:szCs w:val="48"/>
        </w:rPr>
        <w:t xml:space="preserve"> </w:t>
      </w:r>
    </w:p>
    <w:p w14:paraId="5A98EA5E" w14:textId="214D6F87" w:rsidR="00FB77F0" w:rsidRPr="00244C6F" w:rsidRDefault="004203BE" w:rsidP="00D0206E">
      <w:pPr>
        <w:spacing w:after="0"/>
        <w:ind w:left="1298"/>
        <w:jc w:val="both"/>
        <w:rPr>
          <w:rFonts w:ascii="Calibri" w:hAnsi="Calibri" w:cs="Calibri"/>
          <w:color w:val="000000" w:themeColor="text1"/>
        </w:rPr>
      </w:pPr>
      <w:r w:rsidRPr="00244C6F">
        <w:rPr>
          <w:rFonts w:ascii="Calibri" w:hAnsi="Calibri" w:cs="Calibri"/>
          <w:noProof/>
          <w:color w:val="000000" w:themeColor="text1"/>
        </w:rPr>
        <w:drawing>
          <wp:anchor distT="0" distB="0" distL="114300" distR="114300" simplePos="0" relativeHeight="251662336" behindDoc="1" locked="0" layoutInCell="1" allowOverlap="1" wp14:anchorId="03AA0394" wp14:editId="0F94D78E">
            <wp:simplePos x="0" y="0"/>
            <wp:positionH relativeFrom="margin">
              <wp:align>left</wp:align>
            </wp:positionH>
            <wp:positionV relativeFrom="paragraph">
              <wp:posOffset>156482</wp:posOffset>
            </wp:positionV>
            <wp:extent cx="641985" cy="641985"/>
            <wp:effectExtent l="0" t="0" r="5715" b="5715"/>
            <wp:wrapSquare wrapText="bothSides"/>
            <wp:docPr id="2115102714" name="Grafinis elementas 18" descr="Scales of just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02714" name="Grafinis elementas 2115102714" descr="Scales of justice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650810" cy="650810"/>
                    </a:xfrm>
                    <a:prstGeom prst="rect">
                      <a:avLst/>
                    </a:prstGeom>
                  </pic:spPr>
                </pic:pic>
              </a:graphicData>
            </a:graphic>
            <wp14:sizeRelH relativeFrom="page">
              <wp14:pctWidth>0</wp14:pctWidth>
            </wp14:sizeRelH>
            <wp14:sizeRelV relativeFrom="page">
              <wp14:pctHeight>0</wp14:pctHeight>
            </wp14:sizeRelV>
          </wp:anchor>
        </w:drawing>
      </w:r>
      <w:r w:rsidR="0041745A" w:rsidRPr="00244C6F">
        <w:rPr>
          <w:rFonts w:ascii="Calibri" w:hAnsi="Calibri" w:cs="Calibri"/>
          <w:color w:val="000000" w:themeColor="text1"/>
        </w:rPr>
        <w:t xml:space="preserve">Teismuose </w:t>
      </w:r>
      <w:r w:rsidR="000B0160" w:rsidRPr="00244C6F">
        <w:rPr>
          <w:rFonts w:ascii="Calibri" w:hAnsi="Calibri" w:cs="Calibri"/>
          <w:color w:val="000000" w:themeColor="text1"/>
        </w:rPr>
        <w:t>buvo nagrinėt</w:t>
      </w:r>
      <w:r w:rsidR="004A4CB8" w:rsidRPr="00244C6F">
        <w:rPr>
          <w:rFonts w:ascii="Calibri" w:hAnsi="Calibri" w:cs="Calibri"/>
          <w:color w:val="000000" w:themeColor="text1"/>
        </w:rPr>
        <w:t>a</w:t>
      </w:r>
      <w:r w:rsidR="000B0160" w:rsidRPr="00244C6F">
        <w:rPr>
          <w:rFonts w:ascii="Calibri" w:hAnsi="Calibri" w:cs="Calibri"/>
          <w:color w:val="000000" w:themeColor="text1"/>
        </w:rPr>
        <w:t xml:space="preserve"> </w:t>
      </w:r>
      <w:r w:rsidR="00F7115B" w:rsidRPr="00244C6F">
        <w:rPr>
          <w:rFonts w:ascii="Calibri" w:hAnsi="Calibri" w:cs="Calibri"/>
          <w:color w:val="000000" w:themeColor="text1"/>
        </w:rPr>
        <w:t>111 bylų, kuriose Teisingumo ministerija</w:t>
      </w:r>
      <w:r w:rsidRPr="00244C6F">
        <w:rPr>
          <w:rFonts w:ascii="Calibri" w:hAnsi="Calibri" w:cs="Calibri"/>
          <w:color w:val="000000" w:themeColor="text1"/>
        </w:rPr>
        <w:t xml:space="preserve"> (viena ar kartu su kitomis institucijomis)</w:t>
      </w:r>
      <w:r w:rsidR="00F7115B" w:rsidRPr="00244C6F">
        <w:rPr>
          <w:rFonts w:ascii="Calibri" w:hAnsi="Calibri" w:cs="Calibri"/>
          <w:color w:val="000000" w:themeColor="text1"/>
        </w:rPr>
        <w:t xml:space="preserve"> atstovavo </w:t>
      </w:r>
      <w:r w:rsidR="00623BCC" w:rsidRPr="00244C6F">
        <w:rPr>
          <w:rFonts w:ascii="Calibri" w:hAnsi="Calibri" w:cs="Calibri"/>
          <w:color w:val="000000" w:themeColor="text1"/>
        </w:rPr>
        <w:t>valstybei ar dalyvavo</w:t>
      </w:r>
      <w:r w:rsidR="00CD319A" w:rsidRPr="00244C6F">
        <w:rPr>
          <w:rFonts w:ascii="Calibri" w:hAnsi="Calibri" w:cs="Calibri"/>
          <w:color w:val="000000" w:themeColor="text1"/>
        </w:rPr>
        <w:t xml:space="preserve"> treči</w:t>
      </w:r>
      <w:r w:rsidR="00623BCC" w:rsidRPr="00244C6F">
        <w:rPr>
          <w:rFonts w:ascii="Calibri" w:hAnsi="Calibri" w:cs="Calibri"/>
          <w:color w:val="000000" w:themeColor="text1"/>
        </w:rPr>
        <w:t>ojo asmens statusu</w:t>
      </w:r>
      <w:r w:rsidR="00EC673C" w:rsidRPr="00244C6F">
        <w:rPr>
          <w:rFonts w:ascii="Calibri" w:hAnsi="Calibri" w:cs="Calibri"/>
          <w:color w:val="000000" w:themeColor="text1"/>
        </w:rPr>
        <w:t>,</w:t>
      </w:r>
      <w:r w:rsidR="00F7115B" w:rsidRPr="00244C6F">
        <w:rPr>
          <w:rFonts w:ascii="Calibri" w:hAnsi="Calibri" w:cs="Calibri"/>
          <w:color w:val="000000" w:themeColor="text1"/>
        </w:rPr>
        <w:t xml:space="preserve"> bei 43</w:t>
      </w:r>
      <w:r w:rsidR="00EC673C" w:rsidRPr="00244C6F">
        <w:rPr>
          <w:rFonts w:ascii="Calibri" w:hAnsi="Calibri" w:cs="Calibri"/>
          <w:color w:val="000000" w:themeColor="text1"/>
        </w:rPr>
        <w:t> </w:t>
      </w:r>
      <w:r w:rsidR="00F7115B" w:rsidRPr="00244C6F">
        <w:rPr>
          <w:rFonts w:ascii="Calibri" w:hAnsi="Calibri" w:cs="Calibri"/>
          <w:color w:val="000000" w:themeColor="text1"/>
        </w:rPr>
        <w:t>bylos</w:t>
      </w:r>
      <w:r w:rsidR="00F7115B" w:rsidRPr="00244C6F">
        <w:rPr>
          <w:rStyle w:val="Puslapioinaosnuoroda"/>
          <w:rFonts w:ascii="Calibri" w:hAnsi="Calibri" w:cs="Calibri"/>
          <w:color w:val="000000" w:themeColor="text1"/>
        </w:rPr>
        <w:footnoteReference w:id="2"/>
      </w:r>
      <w:r w:rsidR="00B12C49" w:rsidRPr="00244C6F">
        <w:rPr>
          <w:rFonts w:ascii="Calibri" w:hAnsi="Calibri" w:cs="Calibri"/>
          <w:color w:val="000000" w:themeColor="text1"/>
        </w:rPr>
        <w:t xml:space="preserve">, </w:t>
      </w:r>
      <w:r w:rsidR="00390F62" w:rsidRPr="00244C6F">
        <w:rPr>
          <w:rFonts w:ascii="Calibri" w:hAnsi="Calibri" w:cs="Calibri"/>
          <w:color w:val="000000" w:themeColor="text1"/>
        </w:rPr>
        <w:t xml:space="preserve">apie kurias </w:t>
      </w:r>
      <w:r w:rsidR="00FC0EE0" w:rsidRPr="00244C6F">
        <w:rPr>
          <w:rFonts w:ascii="Calibri" w:hAnsi="Calibri" w:cs="Calibri"/>
          <w:color w:val="000000" w:themeColor="text1"/>
        </w:rPr>
        <w:t xml:space="preserve">institucijos pranešė </w:t>
      </w:r>
      <w:r w:rsidR="00390F62" w:rsidRPr="00244C6F">
        <w:rPr>
          <w:rFonts w:ascii="Calibri" w:hAnsi="Calibri" w:cs="Calibri"/>
          <w:color w:val="000000" w:themeColor="text1"/>
        </w:rPr>
        <w:t>T</w:t>
      </w:r>
      <w:r w:rsidR="00C82377" w:rsidRPr="00244C6F">
        <w:rPr>
          <w:rFonts w:ascii="Calibri" w:hAnsi="Calibri" w:cs="Calibri"/>
          <w:color w:val="000000" w:themeColor="text1"/>
        </w:rPr>
        <w:t>eisingumo ministerijai</w:t>
      </w:r>
      <w:r w:rsidR="004A0404" w:rsidRPr="00244C6F">
        <w:rPr>
          <w:rFonts w:ascii="Calibri" w:hAnsi="Calibri" w:cs="Calibri"/>
          <w:color w:val="000000" w:themeColor="text1"/>
        </w:rPr>
        <w:t xml:space="preserve"> ir </w:t>
      </w:r>
      <w:r w:rsidR="00D03535" w:rsidRPr="00244C6F">
        <w:rPr>
          <w:rFonts w:ascii="Calibri" w:hAnsi="Calibri" w:cs="Calibri"/>
          <w:color w:val="000000" w:themeColor="text1"/>
        </w:rPr>
        <w:t xml:space="preserve">kuriose </w:t>
      </w:r>
      <w:r w:rsidR="00390F62" w:rsidRPr="00244C6F">
        <w:rPr>
          <w:rFonts w:ascii="Calibri" w:hAnsi="Calibri" w:cs="Calibri"/>
          <w:color w:val="000000" w:themeColor="text1"/>
        </w:rPr>
        <w:t xml:space="preserve">jos atstovauja valstybei </w:t>
      </w:r>
      <w:r w:rsidR="00A16299" w:rsidRPr="00244C6F">
        <w:rPr>
          <w:rFonts w:ascii="Calibri" w:hAnsi="Calibri" w:cs="Calibri"/>
          <w:color w:val="000000" w:themeColor="text1"/>
        </w:rPr>
        <w:t>dėl va</w:t>
      </w:r>
      <w:r w:rsidR="00612E28" w:rsidRPr="00244C6F">
        <w:rPr>
          <w:rFonts w:ascii="Calibri" w:hAnsi="Calibri" w:cs="Calibri"/>
          <w:color w:val="000000" w:themeColor="text1"/>
        </w:rPr>
        <w:t>lstybės neteisėtų veiksmų</w:t>
      </w:r>
      <w:r w:rsidR="00B12C49" w:rsidRPr="00244C6F">
        <w:rPr>
          <w:rFonts w:ascii="Calibri" w:hAnsi="Calibri" w:cs="Calibri"/>
          <w:color w:val="000000" w:themeColor="text1"/>
        </w:rPr>
        <w:t>.</w:t>
      </w:r>
      <w:r w:rsidR="00612E28" w:rsidRPr="00244C6F">
        <w:rPr>
          <w:rFonts w:ascii="Calibri" w:hAnsi="Calibri" w:cs="Calibri"/>
          <w:color w:val="000000" w:themeColor="text1"/>
        </w:rPr>
        <w:t xml:space="preserve"> </w:t>
      </w:r>
      <w:r w:rsidR="00531EE5" w:rsidRPr="00244C6F">
        <w:rPr>
          <w:rFonts w:ascii="Calibri" w:hAnsi="Calibri" w:cs="Calibri"/>
          <w:color w:val="000000" w:themeColor="text1"/>
        </w:rPr>
        <w:t xml:space="preserve">Bendra </w:t>
      </w:r>
      <w:r w:rsidR="000720EE" w:rsidRPr="00244C6F">
        <w:rPr>
          <w:rFonts w:ascii="Calibri" w:hAnsi="Calibri" w:cs="Calibri"/>
          <w:color w:val="000000" w:themeColor="text1"/>
        </w:rPr>
        <w:t>pra</w:t>
      </w:r>
      <w:r w:rsidR="00316DC4" w:rsidRPr="00244C6F">
        <w:rPr>
          <w:rFonts w:ascii="Calibri" w:hAnsi="Calibri" w:cs="Calibri"/>
          <w:color w:val="000000" w:themeColor="text1"/>
        </w:rPr>
        <w:t xml:space="preserve">ėjusiais </w:t>
      </w:r>
      <w:r w:rsidR="00D03535" w:rsidRPr="00244C6F">
        <w:rPr>
          <w:rFonts w:ascii="Calibri" w:hAnsi="Calibri" w:cs="Calibri"/>
          <w:color w:val="000000" w:themeColor="text1"/>
        </w:rPr>
        <w:t xml:space="preserve">metais valstybei pareikštų </w:t>
      </w:r>
      <w:r w:rsidR="003F0459" w:rsidRPr="00244C6F">
        <w:rPr>
          <w:rFonts w:ascii="Calibri" w:hAnsi="Calibri" w:cs="Calibri"/>
          <w:color w:val="000000" w:themeColor="text1"/>
        </w:rPr>
        <w:t>reikalavimų</w:t>
      </w:r>
      <w:r w:rsidR="004A4CB8" w:rsidRPr="00244C6F">
        <w:rPr>
          <w:rFonts w:ascii="Calibri" w:hAnsi="Calibri" w:cs="Calibri"/>
          <w:color w:val="000000" w:themeColor="text1"/>
        </w:rPr>
        <w:t xml:space="preserve"> suma </w:t>
      </w:r>
      <w:r w:rsidR="00531EE5" w:rsidRPr="00244C6F">
        <w:rPr>
          <w:rFonts w:ascii="Calibri" w:hAnsi="Calibri" w:cs="Calibri"/>
          <w:color w:val="000000" w:themeColor="text1"/>
        </w:rPr>
        <w:t>vi</w:t>
      </w:r>
      <w:r w:rsidR="007C47C1" w:rsidRPr="00244C6F">
        <w:rPr>
          <w:rFonts w:ascii="Calibri" w:hAnsi="Calibri" w:cs="Calibri"/>
          <w:color w:val="000000" w:themeColor="text1"/>
        </w:rPr>
        <w:t>r</w:t>
      </w:r>
      <w:r w:rsidR="00531EE5" w:rsidRPr="00244C6F">
        <w:rPr>
          <w:rFonts w:ascii="Calibri" w:hAnsi="Calibri" w:cs="Calibri"/>
          <w:color w:val="000000" w:themeColor="text1"/>
        </w:rPr>
        <w:t>š</w:t>
      </w:r>
      <w:r w:rsidR="00316DC4" w:rsidRPr="00244C6F">
        <w:rPr>
          <w:rFonts w:ascii="Calibri" w:hAnsi="Calibri" w:cs="Calibri"/>
          <w:color w:val="000000" w:themeColor="text1"/>
        </w:rPr>
        <w:t>ijo</w:t>
      </w:r>
      <w:r w:rsidR="00531EE5" w:rsidRPr="00244C6F">
        <w:rPr>
          <w:rFonts w:ascii="Calibri" w:hAnsi="Calibri" w:cs="Calibri"/>
          <w:color w:val="000000" w:themeColor="text1"/>
        </w:rPr>
        <w:t xml:space="preserve"> </w:t>
      </w:r>
      <w:r w:rsidR="003F0459" w:rsidRPr="00244C6F">
        <w:rPr>
          <w:rFonts w:ascii="Calibri" w:hAnsi="Calibri" w:cs="Calibri"/>
          <w:color w:val="000000" w:themeColor="text1"/>
        </w:rPr>
        <w:t>88</w:t>
      </w:r>
      <w:r w:rsidR="00C76309" w:rsidRPr="00244C6F">
        <w:rPr>
          <w:rFonts w:ascii="Calibri" w:hAnsi="Calibri" w:cs="Calibri"/>
          <w:color w:val="000000" w:themeColor="text1"/>
        </w:rPr>
        <w:t> </w:t>
      </w:r>
      <w:r w:rsidR="00D03535" w:rsidRPr="00244C6F">
        <w:rPr>
          <w:rFonts w:ascii="Calibri" w:hAnsi="Calibri" w:cs="Calibri"/>
          <w:color w:val="000000" w:themeColor="text1"/>
        </w:rPr>
        <w:t>mln.</w:t>
      </w:r>
      <w:r w:rsidR="00316DC4" w:rsidRPr="00244C6F">
        <w:rPr>
          <w:rFonts w:ascii="Calibri" w:hAnsi="Calibri" w:cs="Calibri"/>
          <w:color w:val="000000" w:themeColor="text1"/>
        </w:rPr>
        <w:t> </w:t>
      </w:r>
      <w:r w:rsidR="003F0459" w:rsidRPr="00244C6F">
        <w:rPr>
          <w:rFonts w:ascii="Calibri" w:hAnsi="Calibri" w:cs="Calibri"/>
          <w:color w:val="000000" w:themeColor="text1"/>
        </w:rPr>
        <w:t>E</w:t>
      </w:r>
      <w:r w:rsidR="0097444C" w:rsidRPr="00244C6F">
        <w:rPr>
          <w:rFonts w:ascii="Calibri" w:hAnsi="Calibri" w:cs="Calibri"/>
          <w:color w:val="000000" w:themeColor="text1"/>
        </w:rPr>
        <w:t>ur</w:t>
      </w:r>
      <w:r w:rsidR="003F0459" w:rsidRPr="00244C6F">
        <w:rPr>
          <w:rFonts w:ascii="Calibri" w:hAnsi="Calibri" w:cs="Calibri"/>
          <w:color w:val="000000" w:themeColor="text1"/>
        </w:rPr>
        <w:t>.</w:t>
      </w:r>
      <w:r w:rsidR="0041745A" w:rsidRPr="00244C6F">
        <w:rPr>
          <w:rFonts w:ascii="Calibri" w:hAnsi="Calibri" w:cs="Calibri"/>
          <w:noProof/>
          <w:color w:val="000000" w:themeColor="text1"/>
        </w:rPr>
        <w:t xml:space="preserve"> </w:t>
      </w:r>
    </w:p>
    <w:p w14:paraId="42EF9E8C" w14:textId="6CFC11ED" w:rsidR="00D03535" w:rsidRPr="00244C6F" w:rsidRDefault="00D03535" w:rsidP="00F06553">
      <w:pPr>
        <w:spacing w:after="0"/>
        <w:jc w:val="both"/>
        <w:rPr>
          <w:rFonts w:ascii="Calibri" w:hAnsi="Calibri" w:cs="Calibri"/>
          <w:color w:val="000000" w:themeColor="text1"/>
        </w:rPr>
      </w:pPr>
    </w:p>
    <w:p w14:paraId="30EDFB7F" w14:textId="47FC7250" w:rsidR="00FB77F0" w:rsidRPr="00244C6F" w:rsidRDefault="00D03535" w:rsidP="00D0206E">
      <w:pPr>
        <w:spacing w:after="0"/>
        <w:jc w:val="both"/>
        <w:rPr>
          <w:rFonts w:ascii="Calibri" w:hAnsi="Calibri" w:cs="Calibri"/>
          <w:color w:val="000000" w:themeColor="text1"/>
        </w:rPr>
      </w:pPr>
      <w:r w:rsidRPr="00244C6F">
        <w:rPr>
          <w:rFonts w:ascii="Calibri" w:hAnsi="Calibri" w:cs="Calibri"/>
          <w:color w:val="000000" w:themeColor="text1"/>
        </w:rPr>
        <w:t xml:space="preserve">Priimti </w:t>
      </w:r>
      <w:r w:rsidR="006B1D0F" w:rsidRPr="00244C6F">
        <w:rPr>
          <w:rFonts w:ascii="Calibri" w:hAnsi="Calibri" w:cs="Calibri"/>
          <w:color w:val="000000" w:themeColor="text1"/>
        </w:rPr>
        <w:t>3</w:t>
      </w:r>
      <w:r w:rsidR="00242EF6" w:rsidRPr="00244C6F">
        <w:rPr>
          <w:rFonts w:ascii="Calibri" w:hAnsi="Calibri" w:cs="Calibri"/>
          <w:color w:val="000000" w:themeColor="text1"/>
        </w:rPr>
        <w:t>2</w:t>
      </w:r>
      <w:r w:rsidR="003173CF" w:rsidRPr="00244C6F">
        <w:rPr>
          <w:rFonts w:ascii="Calibri" w:hAnsi="Calibri" w:cs="Calibri"/>
          <w:color w:val="000000" w:themeColor="text1"/>
        </w:rPr>
        <w:t xml:space="preserve"> įsiteisėj</w:t>
      </w:r>
      <w:r w:rsidR="00242EF6" w:rsidRPr="00244C6F">
        <w:rPr>
          <w:rFonts w:ascii="Calibri" w:hAnsi="Calibri" w:cs="Calibri"/>
          <w:color w:val="000000" w:themeColor="text1"/>
        </w:rPr>
        <w:t>ę</w:t>
      </w:r>
      <w:r w:rsidR="006B1D0F" w:rsidRPr="00244C6F">
        <w:rPr>
          <w:rFonts w:ascii="Calibri" w:hAnsi="Calibri" w:cs="Calibri"/>
          <w:color w:val="000000" w:themeColor="text1"/>
        </w:rPr>
        <w:t xml:space="preserve"> sprendima</w:t>
      </w:r>
      <w:r w:rsidR="005C332A" w:rsidRPr="00244C6F">
        <w:rPr>
          <w:rFonts w:ascii="Calibri" w:hAnsi="Calibri" w:cs="Calibri"/>
          <w:color w:val="000000" w:themeColor="text1"/>
        </w:rPr>
        <w:t>i</w:t>
      </w:r>
      <w:r w:rsidR="006B1D0F" w:rsidRPr="00244C6F">
        <w:rPr>
          <w:rFonts w:ascii="Calibri" w:hAnsi="Calibri" w:cs="Calibri"/>
          <w:color w:val="000000" w:themeColor="text1"/>
        </w:rPr>
        <w:t xml:space="preserve"> (įskaitant </w:t>
      </w:r>
      <w:r w:rsidRPr="00244C6F">
        <w:rPr>
          <w:rFonts w:ascii="Calibri" w:hAnsi="Calibri" w:cs="Calibri"/>
          <w:color w:val="000000" w:themeColor="text1"/>
        </w:rPr>
        <w:t>nutartis dėl taikių susitarimų</w:t>
      </w:r>
      <w:r w:rsidR="006B1D0F" w:rsidRPr="00244C6F">
        <w:rPr>
          <w:rFonts w:ascii="Calibri" w:hAnsi="Calibri" w:cs="Calibri"/>
          <w:color w:val="000000" w:themeColor="text1"/>
        </w:rPr>
        <w:t>)</w:t>
      </w:r>
      <w:r w:rsidR="00906C5F" w:rsidRPr="00244C6F">
        <w:rPr>
          <w:rFonts w:ascii="Calibri" w:hAnsi="Calibri" w:cs="Calibri"/>
          <w:color w:val="000000" w:themeColor="text1"/>
        </w:rPr>
        <w:t xml:space="preserve"> dėl neteisėtų valstybės veiksmų</w:t>
      </w:r>
      <w:r w:rsidRPr="00244C6F">
        <w:rPr>
          <w:rFonts w:ascii="Calibri" w:hAnsi="Calibri" w:cs="Calibri"/>
          <w:color w:val="000000" w:themeColor="text1"/>
        </w:rPr>
        <w:t>, kurie</w:t>
      </w:r>
      <w:r w:rsidR="003173CF" w:rsidRPr="00244C6F">
        <w:rPr>
          <w:rFonts w:ascii="Calibri" w:hAnsi="Calibri" w:cs="Calibri"/>
          <w:color w:val="000000" w:themeColor="text1"/>
        </w:rPr>
        <w:t xml:space="preserve"> </w:t>
      </w:r>
      <w:r w:rsidRPr="00244C6F">
        <w:rPr>
          <w:rFonts w:ascii="Calibri" w:hAnsi="Calibri" w:cs="Calibri"/>
          <w:color w:val="000000" w:themeColor="text1"/>
        </w:rPr>
        <w:t xml:space="preserve">pateikti </w:t>
      </w:r>
      <w:r w:rsidR="003173CF" w:rsidRPr="00244C6F">
        <w:rPr>
          <w:rFonts w:ascii="Calibri" w:hAnsi="Calibri" w:cs="Calibri"/>
          <w:color w:val="000000" w:themeColor="text1"/>
        </w:rPr>
        <w:t>vykdyti Teisingumo ministerijai.</w:t>
      </w:r>
      <w:r w:rsidRPr="00244C6F">
        <w:rPr>
          <w:rFonts w:ascii="Calibri" w:hAnsi="Calibri" w:cs="Calibri"/>
          <w:noProof/>
          <w:color w:val="000000" w:themeColor="text1"/>
        </w:rPr>
        <w:drawing>
          <wp:anchor distT="0" distB="0" distL="114300" distR="114300" simplePos="0" relativeHeight="251666432" behindDoc="0" locked="0" layoutInCell="1" allowOverlap="1" wp14:anchorId="1C55DA09" wp14:editId="416C34E9">
            <wp:simplePos x="0" y="0"/>
            <wp:positionH relativeFrom="margin">
              <wp:align>left</wp:align>
            </wp:positionH>
            <wp:positionV relativeFrom="paragraph">
              <wp:posOffset>156664</wp:posOffset>
            </wp:positionV>
            <wp:extent cx="625475" cy="625475"/>
            <wp:effectExtent l="0" t="0" r="3175" b="0"/>
            <wp:wrapSquare wrapText="bothSides"/>
            <wp:docPr id="2121798213" name="Grafinis elementas 14" descr="Mon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98213" name="Grafinis elementas 2121798213" descr="Money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25475" cy="625475"/>
                    </a:xfrm>
                    <a:prstGeom prst="rect">
                      <a:avLst/>
                    </a:prstGeom>
                  </pic:spPr>
                </pic:pic>
              </a:graphicData>
            </a:graphic>
            <wp14:sizeRelH relativeFrom="page">
              <wp14:pctWidth>0</wp14:pctWidth>
            </wp14:sizeRelH>
            <wp14:sizeRelV relativeFrom="page">
              <wp14:pctHeight>0</wp14:pctHeight>
            </wp14:sizeRelV>
          </wp:anchor>
        </w:drawing>
      </w:r>
      <w:r w:rsidR="00D0206E">
        <w:rPr>
          <w:rFonts w:ascii="Calibri" w:hAnsi="Calibri" w:cs="Calibri"/>
          <w:color w:val="000000" w:themeColor="text1"/>
        </w:rPr>
        <w:t xml:space="preserve"> </w:t>
      </w:r>
      <w:r w:rsidR="000E77F0" w:rsidRPr="00244C6F">
        <w:rPr>
          <w:rFonts w:ascii="Calibri" w:hAnsi="Calibri" w:cs="Calibri"/>
          <w:color w:val="000000" w:themeColor="text1"/>
        </w:rPr>
        <w:t>Iš v</w:t>
      </w:r>
      <w:r w:rsidRPr="00244C6F">
        <w:rPr>
          <w:rFonts w:ascii="Calibri" w:hAnsi="Calibri" w:cs="Calibri"/>
          <w:color w:val="000000" w:themeColor="text1"/>
        </w:rPr>
        <w:t xml:space="preserve">iso </w:t>
      </w:r>
      <w:r w:rsidR="00A119F8" w:rsidRPr="00244C6F">
        <w:rPr>
          <w:rFonts w:ascii="Calibri" w:hAnsi="Calibri" w:cs="Calibri"/>
          <w:color w:val="000000" w:themeColor="text1"/>
        </w:rPr>
        <w:t xml:space="preserve">dėl neteisėtų valstybės veiksmų </w:t>
      </w:r>
      <w:r w:rsidRPr="00244C6F">
        <w:rPr>
          <w:rFonts w:ascii="Calibri" w:hAnsi="Calibri" w:cs="Calibri"/>
          <w:color w:val="000000" w:themeColor="text1"/>
        </w:rPr>
        <w:t>iš Teisingumo ministerijos valdomų asignavimų asmenims buvo</w:t>
      </w:r>
      <w:r w:rsidR="00887CDE" w:rsidRPr="00244C6F">
        <w:rPr>
          <w:rFonts w:ascii="Calibri" w:hAnsi="Calibri" w:cs="Calibri"/>
          <w:color w:val="000000" w:themeColor="text1"/>
        </w:rPr>
        <w:t xml:space="preserve"> </w:t>
      </w:r>
      <w:r w:rsidRPr="00244C6F">
        <w:rPr>
          <w:rFonts w:ascii="Calibri" w:hAnsi="Calibri" w:cs="Calibri"/>
          <w:color w:val="000000" w:themeColor="text1"/>
        </w:rPr>
        <w:t>i</w:t>
      </w:r>
      <w:r w:rsidR="00887CDE" w:rsidRPr="00244C6F">
        <w:rPr>
          <w:rFonts w:ascii="Calibri" w:hAnsi="Calibri" w:cs="Calibri"/>
          <w:color w:val="000000" w:themeColor="text1"/>
        </w:rPr>
        <w:t>šmokėta 358</w:t>
      </w:r>
      <w:r w:rsidR="00A119F8" w:rsidRPr="00244C6F">
        <w:rPr>
          <w:rFonts w:ascii="Calibri" w:hAnsi="Calibri" w:cs="Calibri"/>
          <w:color w:val="000000" w:themeColor="text1"/>
        </w:rPr>
        <w:t> </w:t>
      </w:r>
      <w:r w:rsidR="00887CDE" w:rsidRPr="00244C6F">
        <w:rPr>
          <w:rFonts w:ascii="Calibri" w:hAnsi="Calibri" w:cs="Calibri"/>
          <w:color w:val="000000" w:themeColor="text1"/>
        </w:rPr>
        <w:t>813</w:t>
      </w:r>
      <w:r w:rsidR="00A119F8" w:rsidRPr="00244C6F">
        <w:rPr>
          <w:rFonts w:ascii="Calibri" w:hAnsi="Calibri" w:cs="Calibri"/>
          <w:color w:val="000000" w:themeColor="text1"/>
        </w:rPr>
        <w:t> </w:t>
      </w:r>
      <w:r w:rsidR="0042001B" w:rsidRPr="00244C6F">
        <w:rPr>
          <w:rFonts w:ascii="Calibri" w:hAnsi="Calibri" w:cs="Calibri"/>
          <w:color w:val="000000" w:themeColor="text1"/>
        </w:rPr>
        <w:t>E</w:t>
      </w:r>
      <w:r w:rsidR="0097444C" w:rsidRPr="00244C6F">
        <w:rPr>
          <w:rFonts w:ascii="Calibri" w:hAnsi="Calibri" w:cs="Calibri"/>
          <w:color w:val="000000" w:themeColor="text1"/>
        </w:rPr>
        <w:t>ur</w:t>
      </w:r>
      <w:r w:rsidR="00FB7E3D" w:rsidRPr="00244C6F">
        <w:rPr>
          <w:rStyle w:val="Puslapioinaosnuoroda"/>
          <w:rFonts w:ascii="Calibri" w:hAnsi="Calibri" w:cs="Calibri"/>
          <w:color w:val="000000" w:themeColor="text1"/>
        </w:rPr>
        <w:footnoteReference w:id="3"/>
      </w:r>
      <w:r w:rsidR="00887CDE" w:rsidRPr="00244C6F">
        <w:rPr>
          <w:rFonts w:ascii="Calibri" w:hAnsi="Calibri" w:cs="Calibri"/>
          <w:color w:val="000000" w:themeColor="text1"/>
        </w:rPr>
        <w:t xml:space="preserve"> </w:t>
      </w:r>
      <w:r w:rsidR="00A0788E" w:rsidRPr="00244C6F">
        <w:rPr>
          <w:rFonts w:ascii="Calibri" w:hAnsi="Calibri" w:cs="Calibri"/>
          <w:color w:val="000000" w:themeColor="text1"/>
        </w:rPr>
        <w:t>žal</w:t>
      </w:r>
      <w:r w:rsidR="00A119F8" w:rsidRPr="00244C6F">
        <w:rPr>
          <w:rFonts w:ascii="Calibri" w:hAnsi="Calibri" w:cs="Calibri"/>
          <w:color w:val="000000" w:themeColor="text1"/>
        </w:rPr>
        <w:t>ai</w:t>
      </w:r>
      <w:r w:rsidR="00A0788E" w:rsidRPr="00244C6F">
        <w:rPr>
          <w:rFonts w:ascii="Calibri" w:hAnsi="Calibri" w:cs="Calibri"/>
          <w:color w:val="000000" w:themeColor="text1"/>
        </w:rPr>
        <w:t xml:space="preserve"> atlygin</w:t>
      </w:r>
      <w:r w:rsidR="00A119F8" w:rsidRPr="00244C6F">
        <w:rPr>
          <w:rFonts w:ascii="Calibri" w:hAnsi="Calibri" w:cs="Calibri"/>
          <w:color w:val="000000" w:themeColor="text1"/>
        </w:rPr>
        <w:t>ti</w:t>
      </w:r>
      <w:r w:rsidR="00887CDE" w:rsidRPr="00244C6F">
        <w:rPr>
          <w:rFonts w:ascii="Calibri" w:hAnsi="Calibri" w:cs="Calibri"/>
          <w:color w:val="000000" w:themeColor="text1"/>
        </w:rPr>
        <w:t>.</w:t>
      </w:r>
    </w:p>
    <w:p w14:paraId="7865C17D" w14:textId="7FD5A9A4" w:rsidR="009558F5" w:rsidRPr="00244C6F" w:rsidRDefault="00A119F8" w:rsidP="007320E9">
      <w:pPr>
        <w:spacing w:after="0"/>
        <w:rPr>
          <w:rFonts w:ascii="Calibri" w:hAnsi="Calibri" w:cs="Calibri"/>
          <w:color w:val="000000" w:themeColor="text1"/>
        </w:rPr>
      </w:pPr>
      <w:r w:rsidRPr="00244C6F">
        <w:rPr>
          <w:rFonts w:ascii="Calibri" w:hAnsi="Calibri" w:cs="Calibri"/>
          <w:noProof/>
          <w:color w:val="000000" w:themeColor="text1"/>
        </w:rPr>
        <w:drawing>
          <wp:anchor distT="0" distB="0" distL="114300" distR="114300" simplePos="0" relativeHeight="251667456" behindDoc="0" locked="0" layoutInCell="1" allowOverlap="1" wp14:anchorId="72E00839" wp14:editId="1F129FF8">
            <wp:simplePos x="0" y="0"/>
            <wp:positionH relativeFrom="column">
              <wp:posOffset>-13131</wp:posOffset>
            </wp:positionH>
            <wp:positionV relativeFrom="paragraph">
              <wp:posOffset>82158</wp:posOffset>
            </wp:positionV>
            <wp:extent cx="695960" cy="695960"/>
            <wp:effectExtent l="0" t="0" r="8890" b="0"/>
            <wp:wrapSquare wrapText="bothSides"/>
            <wp:docPr id="2076592873" name="Grafinis elementas 1"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92873" name="Grafinis elementas 2076592873" descr="Handshak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695960" cy="695960"/>
                    </a:xfrm>
                    <a:prstGeom prst="rect">
                      <a:avLst/>
                    </a:prstGeom>
                  </pic:spPr>
                </pic:pic>
              </a:graphicData>
            </a:graphic>
            <wp14:sizeRelH relativeFrom="page">
              <wp14:pctWidth>0</wp14:pctWidth>
            </wp14:sizeRelH>
            <wp14:sizeRelV relativeFrom="page">
              <wp14:pctHeight>0</wp14:pctHeight>
            </wp14:sizeRelV>
          </wp:anchor>
        </w:drawing>
      </w:r>
    </w:p>
    <w:p w14:paraId="52BA862D" w14:textId="2D8C71BA" w:rsidR="009558F5" w:rsidRPr="00244C6F" w:rsidRDefault="000D0484" w:rsidP="002E641C">
      <w:pPr>
        <w:spacing w:after="0"/>
        <w:jc w:val="both"/>
        <w:rPr>
          <w:rFonts w:ascii="Calibri" w:hAnsi="Calibri" w:cs="Calibri"/>
          <w:color w:val="000000" w:themeColor="text1"/>
        </w:rPr>
      </w:pPr>
      <w:r w:rsidRPr="00244C6F">
        <w:rPr>
          <w:rFonts w:ascii="Calibri" w:hAnsi="Calibri" w:cs="Calibri"/>
          <w:color w:val="000000" w:themeColor="text1"/>
        </w:rPr>
        <w:t>Taikiai</w:t>
      </w:r>
      <w:r w:rsidR="00D12AA2" w:rsidRPr="00244C6F">
        <w:rPr>
          <w:rFonts w:ascii="Calibri" w:hAnsi="Calibri" w:cs="Calibri"/>
          <w:color w:val="000000" w:themeColor="text1"/>
        </w:rPr>
        <w:t>s</w:t>
      </w:r>
      <w:r w:rsidRPr="00244C6F">
        <w:rPr>
          <w:rFonts w:ascii="Calibri" w:hAnsi="Calibri" w:cs="Calibri"/>
          <w:color w:val="000000" w:themeColor="text1"/>
        </w:rPr>
        <w:t xml:space="preserve"> ginčų sprendimo būdais reikalavimų suma</w:t>
      </w:r>
      <w:r w:rsidR="00695676" w:rsidRPr="00244C6F">
        <w:rPr>
          <w:rFonts w:ascii="Calibri" w:hAnsi="Calibri" w:cs="Calibri"/>
          <w:color w:val="000000" w:themeColor="text1"/>
        </w:rPr>
        <w:t xml:space="preserve"> </w:t>
      </w:r>
      <w:r w:rsidR="00A119F8" w:rsidRPr="00244C6F">
        <w:rPr>
          <w:rFonts w:ascii="Calibri" w:hAnsi="Calibri" w:cs="Calibri"/>
          <w:color w:val="000000" w:themeColor="text1"/>
        </w:rPr>
        <w:t xml:space="preserve">sumažinta </w:t>
      </w:r>
      <w:r w:rsidRPr="00244C6F">
        <w:rPr>
          <w:rFonts w:ascii="Calibri" w:hAnsi="Calibri" w:cs="Calibri"/>
          <w:color w:val="000000" w:themeColor="text1"/>
        </w:rPr>
        <w:t>1 848 482</w:t>
      </w:r>
      <w:r w:rsidR="00A119F8" w:rsidRPr="00244C6F">
        <w:rPr>
          <w:rFonts w:ascii="Calibri" w:hAnsi="Calibri" w:cs="Calibri"/>
          <w:color w:val="000000" w:themeColor="text1"/>
        </w:rPr>
        <w:t> </w:t>
      </w:r>
      <w:r w:rsidRPr="00244C6F">
        <w:rPr>
          <w:rFonts w:ascii="Calibri" w:hAnsi="Calibri" w:cs="Calibri"/>
          <w:color w:val="000000" w:themeColor="text1"/>
        </w:rPr>
        <w:t>Eur</w:t>
      </w:r>
      <w:r w:rsidR="00DC16B0" w:rsidRPr="00244C6F">
        <w:rPr>
          <w:rStyle w:val="Puslapioinaosnuoroda"/>
          <w:rFonts w:ascii="Calibri" w:hAnsi="Calibri" w:cs="Calibri"/>
          <w:color w:val="000000" w:themeColor="text1"/>
        </w:rPr>
        <w:footnoteReference w:id="4"/>
      </w:r>
      <w:r w:rsidR="00D12AA2" w:rsidRPr="00244C6F">
        <w:rPr>
          <w:rFonts w:ascii="Calibri" w:hAnsi="Calibri" w:cs="Calibri"/>
          <w:color w:val="000000" w:themeColor="text1"/>
        </w:rPr>
        <w:t xml:space="preserve">. </w:t>
      </w:r>
    </w:p>
    <w:p w14:paraId="051509EE" w14:textId="77777777" w:rsidR="00D03535" w:rsidRPr="00244C6F" w:rsidRDefault="00D03535" w:rsidP="00D12AA2">
      <w:pPr>
        <w:spacing w:after="0"/>
        <w:rPr>
          <w:rFonts w:ascii="Calibri" w:hAnsi="Calibri" w:cs="Calibri"/>
          <w:color w:val="000000" w:themeColor="text1"/>
        </w:rPr>
      </w:pPr>
    </w:p>
    <w:p w14:paraId="34EF2FD7" w14:textId="2A2BE2C3" w:rsidR="003D7595" w:rsidRPr="00244C6F" w:rsidRDefault="00B65517" w:rsidP="005B1E6A">
      <w:pPr>
        <w:spacing w:after="0"/>
        <w:jc w:val="both"/>
        <w:rPr>
          <w:rFonts w:ascii="Calibri" w:hAnsi="Calibri" w:cs="Calibri"/>
          <w:noProof/>
          <w:color w:val="000000" w:themeColor="text1"/>
        </w:rPr>
      </w:pPr>
      <w:r w:rsidRPr="00244C6F">
        <w:rPr>
          <w:rFonts w:ascii="Calibri" w:hAnsi="Calibri" w:cs="Calibri"/>
          <w:noProof/>
          <w:color w:val="000000" w:themeColor="text1"/>
        </w:rPr>
        <w:drawing>
          <wp:anchor distT="0" distB="0" distL="114300" distR="114300" simplePos="0" relativeHeight="251668480" behindDoc="0" locked="0" layoutInCell="1" allowOverlap="1" wp14:anchorId="7BA3E17B" wp14:editId="78260157">
            <wp:simplePos x="0" y="0"/>
            <wp:positionH relativeFrom="column">
              <wp:posOffset>29935</wp:posOffset>
            </wp:positionH>
            <wp:positionV relativeFrom="paragraph">
              <wp:posOffset>3538</wp:posOffset>
            </wp:positionV>
            <wp:extent cx="654050" cy="654050"/>
            <wp:effectExtent l="0" t="0" r="0" b="0"/>
            <wp:wrapSquare wrapText="bothSides"/>
            <wp:docPr id="858950074" name="Grafinis elementas 16"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50074" name="Grafinis elementas 858950074" descr="Document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654050" cy="654050"/>
                    </a:xfrm>
                    <a:prstGeom prst="rect">
                      <a:avLst/>
                    </a:prstGeom>
                  </pic:spPr>
                </pic:pic>
              </a:graphicData>
            </a:graphic>
            <wp14:sizeRelH relativeFrom="page">
              <wp14:pctWidth>0</wp14:pctWidth>
            </wp14:sizeRelH>
            <wp14:sizeRelV relativeFrom="page">
              <wp14:pctHeight>0</wp14:pctHeight>
            </wp14:sizeRelV>
          </wp:anchor>
        </w:drawing>
      </w:r>
      <w:r w:rsidR="00501405" w:rsidRPr="00244C6F">
        <w:rPr>
          <w:rFonts w:ascii="Calibri" w:hAnsi="Calibri" w:cs="Calibri"/>
          <w:noProof/>
          <w:color w:val="000000" w:themeColor="text1"/>
        </w:rPr>
        <w:t>2</w:t>
      </w:r>
      <w:r w:rsidR="005B1E6A" w:rsidRPr="00244C6F">
        <w:rPr>
          <w:rFonts w:ascii="Calibri" w:hAnsi="Calibri" w:cs="Calibri"/>
          <w:noProof/>
          <w:color w:val="000000" w:themeColor="text1"/>
        </w:rPr>
        <w:t>1</w:t>
      </w:r>
      <w:r w:rsidR="00501405" w:rsidRPr="00244C6F">
        <w:rPr>
          <w:rFonts w:ascii="Calibri" w:hAnsi="Calibri" w:cs="Calibri"/>
          <w:noProof/>
          <w:color w:val="000000" w:themeColor="text1"/>
        </w:rPr>
        <w:t xml:space="preserve"> </w:t>
      </w:r>
      <w:r w:rsidR="00142E0C" w:rsidRPr="00244C6F">
        <w:rPr>
          <w:rFonts w:ascii="Calibri" w:hAnsi="Calibri" w:cs="Calibri"/>
          <w:noProof/>
          <w:color w:val="000000" w:themeColor="text1"/>
        </w:rPr>
        <w:t>atvej</w:t>
      </w:r>
      <w:r w:rsidR="005B1E6A" w:rsidRPr="00244C6F">
        <w:rPr>
          <w:rFonts w:ascii="Calibri" w:hAnsi="Calibri" w:cs="Calibri"/>
          <w:noProof/>
          <w:color w:val="000000" w:themeColor="text1"/>
        </w:rPr>
        <w:t>u</w:t>
      </w:r>
      <w:r w:rsidR="00142E0C" w:rsidRPr="00244C6F">
        <w:rPr>
          <w:rFonts w:ascii="Calibri" w:hAnsi="Calibri" w:cs="Calibri"/>
          <w:noProof/>
          <w:color w:val="000000" w:themeColor="text1"/>
        </w:rPr>
        <w:t xml:space="preserve"> </w:t>
      </w:r>
      <w:r w:rsidR="00BA37B8" w:rsidRPr="00244C6F">
        <w:rPr>
          <w:rFonts w:ascii="Calibri" w:hAnsi="Calibri" w:cs="Calibri"/>
          <w:noProof/>
          <w:color w:val="000000" w:themeColor="text1"/>
        </w:rPr>
        <w:t>(</w:t>
      </w:r>
      <w:r w:rsidR="00746C42" w:rsidRPr="00244C6F">
        <w:rPr>
          <w:rFonts w:ascii="Calibri" w:hAnsi="Calibri" w:cs="Calibri"/>
          <w:noProof/>
          <w:color w:val="000000" w:themeColor="text1"/>
        </w:rPr>
        <w:t>dėl</w:t>
      </w:r>
      <w:r w:rsidR="00BA37B8" w:rsidRPr="00244C6F">
        <w:rPr>
          <w:rFonts w:ascii="Calibri" w:hAnsi="Calibri" w:cs="Calibri"/>
          <w:noProof/>
          <w:color w:val="000000" w:themeColor="text1"/>
        </w:rPr>
        <w:t xml:space="preserve"> </w:t>
      </w:r>
      <w:r w:rsidR="004F3F77" w:rsidRPr="00244C6F">
        <w:rPr>
          <w:rFonts w:ascii="Calibri" w:hAnsi="Calibri" w:cs="Calibri"/>
          <w:noProof/>
          <w:color w:val="000000" w:themeColor="text1"/>
        </w:rPr>
        <w:t>262</w:t>
      </w:r>
      <w:r w:rsidR="006E464D" w:rsidRPr="00244C6F">
        <w:rPr>
          <w:rFonts w:ascii="Calibri" w:hAnsi="Calibri" w:cs="Calibri"/>
          <w:noProof/>
          <w:color w:val="000000" w:themeColor="text1"/>
        </w:rPr>
        <w:t> 904,72</w:t>
      </w:r>
      <w:r w:rsidR="00A119F8" w:rsidRPr="00244C6F">
        <w:rPr>
          <w:rFonts w:ascii="Calibri" w:hAnsi="Calibri" w:cs="Calibri"/>
          <w:noProof/>
          <w:color w:val="000000" w:themeColor="text1"/>
        </w:rPr>
        <w:t> </w:t>
      </w:r>
      <w:r w:rsidR="006E464D" w:rsidRPr="00244C6F">
        <w:rPr>
          <w:rFonts w:ascii="Calibri" w:hAnsi="Calibri" w:cs="Calibri"/>
          <w:noProof/>
          <w:color w:val="000000" w:themeColor="text1"/>
        </w:rPr>
        <w:t>E</w:t>
      </w:r>
      <w:r w:rsidR="0097444C" w:rsidRPr="00244C6F">
        <w:rPr>
          <w:rFonts w:ascii="Calibri" w:hAnsi="Calibri" w:cs="Calibri"/>
          <w:noProof/>
          <w:color w:val="000000" w:themeColor="text1"/>
        </w:rPr>
        <w:t>ur</w:t>
      </w:r>
      <w:r w:rsidR="006E464D" w:rsidRPr="00244C6F">
        <w:rPr>
          <w:rFonts w:ascii="Calibri" w:hAnsi="Calibri" w:cs="Calibri"/>
          <w:noProof/>
          <w:color w:val="000000" w:themeColor="text1"/>
        </w:rPr>
        <w:t xml:space="preserve"> valstybės išmokėt</w:t>
      </w:r>
      <w:r w:rsidR="00746C42" w:rsidRPr="00244C6F">
        <w:rPr>
          <w:rFonts w:ascii="Calibri" w:hAnsi="Calibri" w:cs="Calibri"/>
          <w:noProof/>
          <w:color w:val="000000" w:themeColor="text1"/>
        </w:rPr>
        <w:t>os</w:t>
      </w:r>
      <w:r w:rsidR="006E464D" w:rsidRPr="00244C6F">
        <w:rPr>
          <w:rFonts w:ascii="Calibri" w:hAnsi="Calibri" w:cs="Calibri"/>
          <w:noProof/>
          <w:color w:val="000000" w:themeColor="text1"/>
        </w:rPr>
        <w:t xml:space="preserve"> žal</w:t>
      </w:r>
      <w:r w:rsidR="00746C42" w:rsidRPr="00244C6F">
        <w:rPr>
          <w:rFonts w:ascii="Calibri" w:hAnsi="Calibri" w:cs="Calibri"/>
          <w:noProof/>
          <w:color w:val="000000" w:themeColor="text1"/>
        </w:rPr>
        <w:t>os</w:t>
      </w:r>
      <w:r w:rsidR="006E464D" w:rsidRPr="00244C6F">
        <w:rPr>
          <w:rFonts w:ascii="Calibri" w:hAnsi="Calibri" w:cs="Calibri"/>
          <w:noProof/>
          <w:color w:val="000000" w:themeColor="text1"/>
        </w:rPr>
        <w:t>)</w:t>
      </w:r>
      <w:r w:rsidR="008945ED" w:rsidRPr="00244C6F">
        <w:rPr>
          <w:rFonts w:ascii="Calibri" w:hAnsi="Calibri" w:cs="Calibri"/>
          <w:noProof/>
          <w:color w:val="000000" w:themeColor="text1"/>
        </w:rPr>
        <w:t xml:space="preserve"> Teisingumo ministerija kreipėsi</w:t>
      </w:r>
      <w:r w:rsidR="00501405" w:rsidRPr="00244C6F">
        <w:rPr>
          <w:rFonts w:ascii="Calibri" w:hAnsi="Calibri" w:cs="Calibri"/>
          <w:noProof/>
          <w:color w:val="000000" w:themeColor="text1"/>
        </w:rPr>
        <w:t xml:space="preserve"> </w:t>
      </w:r>
      <w:r w:rsidR="00473DA5" w:rsidRPr="00244C6F">
        <w:rPr>
          <w:rFonts w:ascii="Calibri" w:hAnsi="Calibri" w:cs="Calibri"/>
          <w:noProof/>
          <w:color w:val="000000" w:themeColor="text1"/>
        </w:rPr>
        <w:t xml:space="preserve">į atsakingas valstybės institucijas </w:t>
      </w:r>
      <w:r w:rsidR="008D5495" w:rsidRPr="00244C6F">
        <w:rPr>
          <w:rFonts w:ascii="Calibri" w:hAnsi="Calibri" w:cs="Calibri"/>
          <w:noProof/>
          <w:color w:val="000000" w:themeColor="text1"/>
        </w:rPr>
        <w:t>dėl regreso inici</w:t>
      </w:r>
      <w:r w:rsidR="00987DD5" w:rsidRPr="00244C6F">
        <w:rPr>
          <w:rFonts w:ascii="Calibri" w:hAnsi="Calibri" w:cs="Calibri"/>
          <w:noProof/>
          <w:color w:val="000000" w:themeColor="text1"/>
        </w:rPr>
        <w:t>j</w:t>
      </w:r>
      <w:r w:rsidR="008D5495" w:rsidRPr="00244C6F">
        <w:rPr>
          <w:rFonts w:ascii="Calibri" w:hAnsi="Calibri" w:cs="Calibri"/>
          <w:noProof/>
          <w:color w:val="000000" w:themeColor="text1"/>
        </w:rPr>
        <w:t>avimo</w:t>
      </w:r>
      <w:r w:rsidR="00966210" w:rsidRPr="00244C6F">
        <w:rPr>
          <w:rStyle w:val="Puslapioinaosnuoroda"/>
          <w:rFonts w:ascii="Calibri" w:hAnsi="Calibri" w:cs="Calibri"/>
          <w:noProof/>
          <w:color w:val="000000" w:themeColor="text1"/>
        </w:rPr>
        <w:footnoteReference w:id="5"/>
      </w:r>
      <w:r w:rsidR="001B458E" w:rsidRPr="00244C6F">
        <w:rPr>
          <w:rFonts w:ascii="Calibri" w:hAnsi="Calibri" w:cs="Calibri"/>
          <w:noProof/>
          <w:color w:val="000000" w:themeColor="text1"/>
        </w:rPr>
        <w:t xml:space="preserve">. </w:t>
      </w:r>
    </w:p>
    <w:p w14:paraId="3BEDB4A6" w14:textId="3BFC1398" w:rsidR="00592908" w:rsidRPr="00244C6F" w:rsidRDefault="001078E1" w:rsidP="001078E1">
      <w:pPr>
        <w:spacing w:after="0"/>
        <w:rPr>
          <w:rFonts w:ascii="Calibri" w:hAnsi="Calibri" w:cs="Calibri"/>
          <w:color w:val="000000" w:themeColor="text1"/>
        </w:rPr>
      </w:pPr>
      <w:r w:rsidRPr="00244C6F">
        <w:rPr>
          <w:rFonts w:ascii="Calibri" w:hAnsi="Calibri" w:cs="Calibri"/>
          <w:color w:val="000000" w:themeColor="text1"/>
        </w:rPr>
        <w:t xml:space="preserve"> </w:t>
      </w:r>
    </w:p>
    <w:p w14:paraId="65C74731" w14:textId="4BF0E74C" w:rsidR="00592908" w:rsidRPr="00244C6F" w:rsidRDefault="00A119F8" w:rsidP="001078E1">
      <w:pPr>
        <w:spacing w:after="0"/>
        <w:rPr>
          <w:rFonts w:ascii="Calibri" w:hAnsi="Calibri" w:cs="Calibri"/>
          <w:color w:val="000000" w:themeColor="text1"/>
        </w:rPr>
      </w:pPr>
      <w:r w:rsidRPr="00244C6F">
        <w:rPr>
          <w:rFonts w:ascii="Calibri" w:hAnsi="Calibri" w:cs="Calibri"/>
          <w:noProof/>
          <w:color w:val="0070C0"/>
          <w:sz w:val="48"/>
          <w:szCs w:val="48"/>
        </w:rPr>
        <w:drawing>
          <wp:anchor distT="0" distB="0" distL="114300" distR="114300" simplePos="0" relativeHeight="251659264" behindDoc="0" locked="0" layoutInCell="1" allowOverlap="1" wp14:anchorId="62E51361" wp14:editId="5A2A9A39">
            <wp:simplePos x="0" y="0"/>
            <wp:positionH relativeFrom="column">
              <wp:posOffset>120667</wp:posOffset>
            </wp:positionH>
            <wp:positionV relativeFrom="paragraph">
              <wp:posOffset>45341</wp:posOffset>
            </wp:positionV>
            <wp:extent cx="562610" cy="562610"/>
            <wp:effectExtent l="0" t="0" r="8890" b="0"/>
            <wp:wrapSquare wrapText="bothSides"/>
            <wp:docPr id="1405090387" name="Grafinis elementas 12" descr="Coi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90387" name="Grafinis elementas 1405090387" descr="Coins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562610" cy="562610"/>
                    </a:xfrm>
                    <a:prstGeom prst="rect">
                      <a:avLst/>
                    </a:prstGeom>
                  </pic:spPr>
                </pic:pic>
              </a:graphicData>
            </a:graphic>
            <wp14:sizeRelH relativeFrom="margin">
              <wp14:pctWidth>0</wp14:pctWidth>
            </wp14:sizeRelH>
            <wp14:sizeRelV relativeFrom="margin">
              <wp14:pctHeight>0</wp14:pctHeight>
            </wp14:sizeRelV>
          </wp:anchor>
        </w:drawing>
      </w:r>
    </w:p>
    <w:p w14:paraId="71B624CB" w14:textId="57DBA3CC" w:rsidR="000D3D8E" w:rsidRPr="00244C6F" w:rsidRDefault="006140FB" w:rsidP="00FB41A6">
      <w:pPr>
        <w:spacing w:after="0"/>
        <w:rPr>
          <w:rFonts w:ascii="Calibri" w:hAnsi="Calibri" w:cs="Calibri"/>
          <w:color w:val="000000" w:themeColor="text1"/>
        </w:rPr>
      </w:pPr>
      <w:r w:rsidRPr="00244C6F">
        <w:rPr>
          <w:rFonts w:ascii="Calibri" w:hAnsi="Calibri" w:cs="Calibri"/>
          <w:color w:val="000000" w:themeColor="text1"/>
        </w:rPr>
        <w:t>Institucijo</w:t>
      </w:r>
      <w:r w:rsidR="001078E1" w:rsidRPr="00244C6F">
        <w:rPr>
          <w:rFonts w:ascii="Calibri" w:hAnsi="Calibri" w:cs="Calibri"/>
          <w:color w:val="000000" w:themeColor="text1"/>
        </w:rPr>
        <w:t>ms</w:t>
      </w:r>
      <w:r w:rsidRPr="00244C6F">
        <w:rPr>
          <w:rFonts w:ascii="Calibri" w:hAnsi="Calibri" w:cs="Calibri"/>
          <w:color w:val="000000" w:themeColor="text1"/>
        </w:rPr>
        <w:t xml:space="preserve"> </w:t>
      </w:r>
      <w:r w:rsidR="001078E1" w:rsidRPr="00244C6F">
        <w:rPr>
          <w:rFonts w:ascii="Calibri" w:hAnsi="Calibri" w:cs="Calibri"/>
          <w:color w:val="000000" w:themeColor="text1"/>
        </w:rPr>
        <w:t>į</w:t>
      </w:r>
      <w:r w:rsidRPr="00244C6F">
        <w:rPr>
          <w:rFonts w:ascii="Calibri" w:hAnsi="Calibri" w:cs="Calibri"/>
          <w:color w:val="000000" w:themeColor="text1"/>
        </w:rPr>
        <w:t>gyvendin</w:t>
      </w:r>
      <w:r w:rsidR="00B80D6E" w:rsidRPr="00244C6F">
        <w:rPr>
          <w:rFonts w:ascii="Calibri" w:hAnsi="Calibri" w:cs="Calibri"/>
          <w:color w:val="000000" w:themeColor="text1"/>
        </w:rPr>
        <w:t>us</w:t>
      </w:r>
      <w:r w:rsidRPr="00244C6F">
        <w:rPr>
          <w:rFonts w:ascii="Calibri" w:hAnsi="Calibri" w:cs="Calibri"/>
          <w:color w:val="000000" w:themeColor="text1"/>
        </w:rPr>
        <w:t xml:space="preserve"> regreso tvark</w:t>
      </w:r>
      <w:r w:rsidR="00257878" w:rsidRPr="00244C6F">
        <w:rPr>
          <w:rFonts w:ascii="Calibri" w:hAnsi="Calibri" w:cs="Calibri"/>
          <w:color w:val="000000" w:themeColor="text1"/>
        </w:rPr>
        <w:t>ą</w:t>
      </w:r>
      <w:r w:rsidRPr="00244C6F">
        <w:rPr>
          <w:rFonts w:ascii="Calibri" w:hAnsi="Calibri" w:cs="Calibri"/>
          <w:color w:val="000000" w:themeColor="text1"/>
        </w:rPr>
        <w:t xml:space="preserve">, </w:t>
      </w:r>
      <w:r w:rsidR="00B65517" w:rsidRPr="00244C6F">
        <w:rPr>
          <w:rFonts w:ascii="Calibri" w:hAnsi="Calibri" w:cs="Calibri"/>
          <w:color w:val="000000" w:themeColor="text1"/>
        </w:rPr>
        <w:t xml:space="preserve">valstybei </w:t>
      </w:r>
      <w:r w:rsidR="00A119F8" w:rsidRPr="00244C6F">
        <w:rPr>
          <w:rFonts w:ascii="Calibri" w:hAnsi="Calibri" w:cs="Calibri"/>
          <w:color w:val="000000" w:themeColor="text1"/>
        </w:rPr>
        <w:t xml:space="preserve">išieškota </w:t>
      </w:r>
      <w:r w:rsidR="00E80F37" w:rsidRPr="00244C6F">
        <w:rPr>
          <w:rFonts w:ascii="Calibri" w:hAnsi="Calibri" w:cs="Calibri"/>
          <w:color w:val="000000" w:themeColor="text1"/>
        </w:rPr>
        <w:t>6</w:t>
      </w:r>
      <w:r w:rsidR="00A119F8" w:rsidRPr="00244C6F">
        <w:rPr>
          <w:rFonts w:ascii="Calibri" w:hAnsi="Calibri" w:cs="Calibri"/>
          <w:color w:val="000000" w:themeColor="text1"/>
        </w:rPr>
        <w:t> </w:t>
      </w:r>
      <w:r w:rsidR="00E80F37" w:rsidRPr="00244C6F">
        <w:rPr>
          <w:rFonts w:ascii="Calibri" w:hAnsi="Calibri" w:cs="Calibri"/>
          <w:color w:val="000000" w:themeColor="text1"/>
        </w:rPr>
        <w:t>672</w:t>
      </w:r>
      <w:r w:rsidR="00A119F8" w:rsidRPr="00244C6F">
        <w:rPr>
          <w:rFonts w:ascii="Calibri" w:hAnsi="Calibri" w:cs="Calibri"/>
          <w:color w:val="000000" w:themeColor="text1"/>
        </w:rPr>
        <w:t> </w:t>
      </w:r>
      <w:r w:rsidR="00B65517" w:rsidRPr="00244C6F">
        <w:rPr>
          <w:rFonts w:ascii="Calibri" w:hAnsi="Calibri" w:cs="Calibri"/>
          <w:color w:val="000000" w:themeColor="text1"/>
        </w:rPr>
        <w:t>E</w:t>
      </w:r>
      <w:r w:rsidR="0097444C" w:rsidRPr="00244C6F">
        <w:rPr>
          <w:rFonts w:ascii="Calibri" w:hAnsi="Calibri" w:cs="Calibri"/>
          <w:color w:val="000000" w:themeColor="text1"/>
        </w:rPr>
        <w:t>ur</w:t>
      </w:r>
      <w:r w:rsidR="00B65517" w:rsidRPr="00244C6F">
        <w:rPr>
          <w:rFonts w:ascii="Calibri" w:hAnsi="Calibri" w:cs="Calibri"/>
          <w:color w:val="000000" w:themeColor="text1"/>
        </w:rPr>
        <w:t>.</w:t>
      </w:r>
      <w:r w:rsidR="000D3D8E" w:rsidRPr="00244C6F">
        <w:rPr>
          <w:rFonts w:ascii="Calibri" w:hAnsi="Calibri" w:cs="Calibri"/>
          <w:color w:val="000000" w:themeColor="text1"/>
        </w:rPr>
        <w:br w:type="page"/>
      </w:r>
    </w:p>
    <w:p w14:paraId="4A894BE1" w14:textId="691DB256" w:rsidR="00A40130" w:rsidRPr="00244C6F" w:rsidRDefault="00E978EF" w:rsidP="00A40130">
      <w:pPr>
        <w:spacing w:after="0" w:line="240" w:lineRule="auto"/>
        <w:jc w:val="both"/>
        <w:rPr>
          <w:rFonts w:ascii="Calibri" w:hAnsi="Calibri" w:cs="Calibri"/>
          <w:color w:val="0070C0"/>
        </w:rPr>
      </w:pPr>
      <w:r w:rsidRPr="00244C6F">
        <w:rPr>
          <w:rFonts w:ascii="Calibri" w:hAnsi="Calibri" w:cs="Calibri"/>
          <w:color w:val="0070C0"/>
          <w:sz w:val="48"/>
          <w:szCs w:val="48"/>
        </w:rPr>
        <w:lastRenderedPageBreak/>
        <w:t>Duomen</w:t>
      </w:r>
      <w:r w:rsidR="001C3247" w:rsidRPr="00244C6F">
        <w:rPr>
          <w:rFonts w:ascii="Calibri" w:hAnsi="Calibri" w:cs="Calibri"/>
          <w:color w:val="0070C0"/>
          <w:sz w:val="48"/>
          <w:szCs w:val="48"/>
        </w:rPr>
        <w:t>ų</w:t>
      </w:r>
      <w:r w:rsidRPr="00244C6F">
        <w:rPr>
          <w:rFonts w:ascii="Calibri" w:hAnsi="Calibri" w:cs="Calibri"/>
          <w:color w:val="0070C0"/>
          <w:sz w:val="48"/>
          <w:szCs w:val="48"/>
        </w:rPr>
        <w:t xml:space="preserve"> apie </w:t>
      </w:r>
      <w:r w:rsidR="000E00F0" w:rsidRPr="00244C6F">
        <w:rPr>
          <w:rFonts w:ascii="Calibri" w:hAnsi="Calibri" w:cs="Calibri"/>
          <w:color w:val="0070C0"/>
          <w:sz w:val="48"/>
          <w:szCs w:val="48"/>
        </w:rPr>
        <w:t xml:space="preserve">Teisingumo ministerijos vykdytus sprendimus </w:t>
      </w:r>
      <w:r w:rsidR="00D03535" w:rsidRPr="00244C6F">
        <w:rPr>
          <w:rFonts w:ascii="Calibri" w:hAnsi="Calibri" w:cs="Calibri"/>
          <w:color w:val="0070C0"/>
          <w:sz w:val="48"/>
          <w:szCs w:val="48"/>
        </w:rPr>
        <w:t>lyginamoji analizė</w:t>
      </w:r>
    </w:p>
    <w:p w14:paraId="19AB86C0" w14:textId="77777777" w:rsidR="00A40130" w:rsidRPr="00244C6F" w:rsidRDefault="00A40130" w:rsidP="00A40130">
      <w:pPr>
        <w:spacing w:after="0" w:line="240" w:lineRule="auto"/>
        <w:jc w:val="both"/>
        <w:rPr>
          <w:rFonts w:ascii="Calibri" w:hAnsi="Calibri" w:cs="Calibri"/>
          <w:i/>
          <w:iCs/>
          <w:color w:val="0070C0"/>
        </w:rPr>
      </w:pPr>
    </w:p>
    <w:p w14:paraId="02A7E8FF" w14:textId="58A156E4" w:rsidR="009647DD" w:rsidRPr="00244C6F" w:rsidRDefault="007A05C5" w:rsidP="002E641C">
      <w:pPr>
        <w:spacing w:after="0"/>
        <w:ind w:firstLine="720"/>
        <w:jc w:val="both"/>
        <w:rPr>
          <w:rFonts w:ascii="Calibri" w:hAnsi="Calibri" w:cs="Calibri"/>
        </w:rPr>
      </w:pPr>
      <w:r w:rsidRPr="00244C6F">
        <w:rPr>
          <w:rFonts w:ascii="Calibri" w:hAnsi="Calibri" w:cs="Calibri"/>
        </w:rPr>
        <w:t xml:space="preserve">Palyginti su </w:t>
      </w:r>
      <w:r w:rsidR="00CF5191" w:rsidRPr="00244C6F">
        <w:rPr>
          <w:rFonts w:ascii="Calibri" w:hAnsi="Calibri" w:cs="Calibri"/>
        </w:rPr>
        <w:t xml:space="preserve">ankstesniais metais </w:t>
      </w:r>
      <w:r w:rsidR="00D03535" w:rsidRPr="00244C6F">
        <w:rPr>
          <w:rFonts w:ascii="Calibri" w:hAnsi="Calibri" w:cs="Calibri"/>
        </w:rPr>
        <w:t>į</w:t>
      </w:r>
      <w:r w:rsidR="000031E5" w:rsidRPr="00244C6F">
        <w:rPr>
          <w:rFonts w:ascii="Calibri" w:hAnsi="Calibri" w:cs="Calibri"/>
        </w:rPr>
        <w:t>vykdytų</w:t>
      </w:r>
      <w:r w:rsidR="00D03535" w:rsidRPr="00244C6F">
        <w:rPr>
          <w:rFonts w:ascii="Calibri" w:hAnsi="Calibri" w:cs="Calibri"/>
        </w:rPr>
        <w:t xml:space="preserve"> teismų</w:t>
      </w:r>
      <w:r w:rsidR="00CF5191" w:rsidRPr="00244C6F">
        <w:rPr>
          <w:rFonts w:ascii="Calibri" w:hAnsi="Calibri" w:cs="Calibri"/>
        </w:rPr>
        <w:t xml:space="preserve"> sprendimų, kuriais nustatyti neteisėti v</w:t>
      </w:r>
      <w:r w:rsidR="000A5D75" w:rsidRPr="00244C6F">
        <w:rPr>
          <w:rFonts w:ascii="Calibri" w:hAnsi="Calibri" w:cs="Calibri"/>
        </w:rPr>
        <w:t>aldžios institucijų</w:t>
      </w:r>
      <w:r w:rsidR="00CF5191" w:rsidRPr="00244C6F">
        <w:rPr>
          <w:rFonts w:ascii="Calibri" w:hAnsi="Calibri" w:cs="Calibri"/>
        </w:rPr>
        <w:t xml:space="preserve"> veiksmai, </w:t>
      </w:r>
      <w:r w:rsidR="00D03535" w:rsidRPr="00244C6F">
        <w:rPr>
          <w:rFonts w:ascii="Calibri" w:hAnsi="Calibri" w:cs="Calibri"/>
        </w:rPr>
        <w:t>skaičiu</w:t>
      </w:r>
      <w:r w:rsidRPr="00244C6F">
        <w:rPr>
          <w:rFonts w:ascii="Calibri" w:hAnsi="Calibri" w:cs="Calibri"/>
        </w:rPr>
        <w:t>mi,</w:t>
      </w:r>
      <w:r w:rsidR="00D03535" w:rsidRPr="00244C6F">
        <w:rPr>
          <w:rFonts w:ascii="Calibri" w:hAnsi="Calibri" w:cs="Calibri"/>
        </w:rPr>
        <w:t xml:space="preserve"> </w:t>
      </w:r>
      <w:r w:rsidR="000031E5" w:rsidRPr="00244C6F">
        <w:rPr>
          <w:rFonts w:ascii="Calibri" w:hAnsi="Calibri" w:cs="Calibri"/>
        </w:rPr>
        <w:t xml:space="preserve">galima </w:t>
      </w:r>
      <w:r w:rsidRPr="00244C6F">
        <w:rPr>
          <w:rFonts w:ascii="Calibri" w:hAnsi="Calibri" w:cs="Calibri"/>
        </w:rPr>
        <w:t>matyti</w:t>
      </w:r>
      <w:r w:rsidR="000031E5" w:rsidRPr="00244C6F">
        <w:rPr>
          <w:rFonts w:ascii="Calibri" w:hAnsi="Calibri" w:cs="Calibri"/>
        </w:rPr>
        <w:t xml:space="preserve">, kad nuo 2019 </w:t>
      </w:r>
      <w:r w:rsidR="00F02464" w:rsidRPr="00244C6F">
        <w:rPr>
          <w:rFonts w:ascii="Calibri" w:hAnsi="Calibri" w:cs="Calibri"/>
        </w:rPr>
        <w:t>metų</w:t>
      </w:r>
      <w:r w:rsidR="00CF5191" w:rsidRPr="00244C6F">
        <w:rPr>
          <w:rFonts w:ascii="Calibri" w:hAnsi="Calibri" w:cs="Calibri"/>
        </w:rPr>
        <w:t xml:space="preserve"> nustatytų neteisėtų veiksmų atvejų mažėj</w:t>
      </w:r>
      <w:r w:rsidR="000031E5" w:rsidRPr="00244C6F">
        <w:rPr>
          <w:rFonts w:ascii="Calibri" w:hAnsi="Calibri" w:cs="Calibri"/>
        </w:rPr>
        <w:t>o</w:t>
      </w:r>
      <w:r w:rsidR="00AA5E7E" w:rsidRPr="00244C6F">
        <w:rPr>
          <w:rFonts w:ascii="Calibri" w:hAnsi="Calibri" w:cs="Calibri"/>
        </w:rPr>
        <w:t>. Tačiau</w:t>
      </w:r>
      <w:r w:rsidR="00793921" w:rsidRPr="00244C6F">
        <w:rPr>
          <w:rFonts w:ascii="Calibri" w:hAnsi="Calibri" w:cs="Calibri"/>
        </w:rPr>
        <w:t xml:space="preserve"> duomenys rodo, kad</w:t>
      </w:r>
      <w:r w:rsidR="00AA5E7E" w:rsidRPr="00244C6F">
        <w:rPr>
          <w:rFonts w:ascii="Calibri" w:hAnsi="Calibri" w:cs="Calibri"/>
        </w:rPr>
        <w:t xml:space="preserve"> </w:t>
      </w:r>
      <w:r w:rsidR="00793921" w:rsidRPr="00244C6F">
        <w:rPr>
          <w:rFonts w:ascii="Calibri" w:hAnsi="Calibri" w:cs="Calibri"/>
        </w:rPr>
        <w:t xml:space="preserve">atvejų mažėjimas nebūtinai </w:t>
      </w:r>
      <w:r w:rsidRPr="00244C6F">
        <w:rPr>
          <w:rFonts w:ascii="Calibri" w:hAnsi="Calibri" w:cs="Calibri"/>
        </w:rPr>
        <w:t xml:space="preserve">lemia </w:t>
      </w:r>
      <w:r w:rsidR="00793921" w:rsidRPr="00244C6F">
        <w:rPr>
          <w:rFonts w:ascii="Calibri" w:hAnsi="Calibri" w:cs="Calibri"/>
        </w:rPr>
        <w:t xml:space="preserve">ir </w:t>
      </w:r>
      <w:r w:rsidRPr="00244C6F">
        <w:rPr>
          <w:rFonts w:ascii="Calibri" w:hAnsi="Calibri" w:cs="Calibri"/>
        </w:rPr>
        <w:t xml:space="preserve">mažesnes </w:t>
      </w:r>
      <w:r w:rsidR="00793921" w:rsidRPr="00244C6F">
        <w:rPr>
          <w:rFonts w:ascii="Calibri" w:hAnsi="Calibri" w:cs="Calibri"/>
        </w:rPr>
        <w:t>išmokė</w:t>
      </w:r>
      <w:r w:rsidR="000A7018" w:rsidRPr="00244C6F">
        <w:rPr>
          <w:rFonts w:ascii="Calibri" w:hAnsi="Calibri" w:cs="Calibri"/>
        </w:rPr>
        <w:t>t</w:t>
      </w:r>
      <w:r w:rsidRPr="00244C6F">
        <w:rPr>
          <w:rFonts w:ascii="Calibri" w:hAnsi="Calibri" w:cs="Calibri"/>
        </w:rPr>
        <w:t>as</w:t>
      </w:r>
      <w:r w:rsidR="000A7018" w:rsidRPr="00244C6F">
        <w:rPr>
          <w:rFonts w:ascii="Calibri" w:hAnsi="Calibri" w:cs="Calibri"/>
        </w:rPr>
        <w:t xml:space="preserve"> sum</w:t>
      </w:r>
      <w:r w:rsidRPr="00244C6F">
        <w:rPr>
          <w:rFonts w:ascii="Calibri" w:hAnsi="Calibri" w:cs="Calibri"/>
        </w:rPr>
        <w:t>as, nes</w:t>
      </w:r>
      <w:r w:rsidR="000A7018" w:rsidRPr="00244C6F">
        <w:rPr>
          <w:rFonts w:ascii="Calibri" w:hAnsi="Calibri" w:cs="Calibri"/>
        </w:rPr>
        <w:t xml:space="preserve"> </w:t>
      </w:r>
      <w:r w:rsidR="00D03535" w:rsidRPr="00244C6F">
        <w:rPr>
          <w:rFonts w:ascii="Calibri" w:hAnsi="Calibri" w:cs="Calibri"/>
        </w:rPr>
        <w:t>augant šalies ekonomika</w:t>
      </w:r>
      <w:r w:rsidRPr="00244C6F">
        <w:rPr>
          <w:rFonts w:ascii="Calibri" w:hAnsi="Calibri" w:cs="Calibri"/>
        </w:rPr>
        <w:t>i</w:t>
      </w:r>
      <w:r w:rsidR="00D03535" w:rsidRPr="00244C6F">
        <w:rPr>
          <w:rFonts w:ascii="Calibri" w:hAnsi="Calibri" w:cs="Calibri"/>
        </w:rPr>
        <w:t xml:space="preserve"> ir pragyvenimo lygiui atitinkamai </w:t>
      </w:r>
      <w:r w:rsidRPr="00244C6F">
        <w:rPr>
          <w:rFonts w:ascii="Calibri" w:hAnsi="Calibri" w:cs="Calibri"/>
        </w:rPr>
        <w:t xml:space="preserve">didėja priteisiamų </w:t>
      </w:r>
      <w:r w:rsidR="00D03535" w:rsidRPr="00244C6F">
        <w:rPr>
          <w:rFonts w:ascii="Calibri" w:hAnsi="Calibri" w:cs="Calibri"/>
        </w:rPr>
        <w:t xml:space="preserve">žalų dydžiai, </w:t>
      </w:r>
      <w:r w:rsidRPr="00244C6F">
        <w:rPr>
          <w:rFonts w:ascii="Calibri" w:hAnsi="Calibri" w:cs="Calibri"/>
        </w:rPr>
        <w:t>o</w:t>
      </w:r>
      <w:r w:rsidR="00D45856" w:rsidRPr="00244C6F">
        <w:rPr>
          <w:rFonts w:ascii="Calibri" w:hAnsi="Calibri" w:cs="Calibri"/>
        </w:rPr>
        <w:t xml:space="preserve"> </w:t>
      </w:r>
      <w:r w:rsidR="000A7018" w:rsidRPr="00244C6F">
        <w:rPr>
          <w:rFonts w:ascii="Calibri" w:hAnsi="Calibri" w:cs="Calibri"/>
        </w:rPr>
        <w:t>kai kuri</w:t>
      </w:r>
      <w:r w:rsidR="00D03464" w:rsidRPr="00244C6F">
        <w:rPr>
          <w:rFonts w:ascii="Calibri" w:hAnsi="Calibri" w:cs="Calibri"/>
        </w:rPr>
        <w:t xml:space="preserve">e vykdytini sprendimai priimami </w:t>
      </w:r>
      <w:r w:rsidR="00D45856" w:rsidRPr="00244C6F">
        <w:rPr>
          <w:rFonts w:ascii="Calibri" w:hAnsi="Calibri" w:cs="Calibri"/>
        </w:rPr>
        <w:t xml:space="preserve">kelių </w:t>
      </w:r>
      <w:r w:rsidR="00701206" w:rsidRPr="00244C6F">
        <w:rPr>
          <w:rFonts w:ascii="Calibri" w:hAnsi="Calibri" w:cs="Calibri"/>
        </w:rPr>
        <w:t>ar</w:t>
      </w:r>
      <w:r w:rsidR="00D45856" w:rsidRPr="00244C6F">
        <w:rPr>
          <w:rFonts w:ascii="Calibri" w:hAnsi="Calibri" w:cs="Calibri"/>
        </w:rPr>
        <w:t xml:space="preserve"> grupės asmenų</w:t>
      </w:r>
      <w:r w:rsidR="00D03464" w:rsidRPr="00244C6F">
        <w:rPr>
          <w:rFonts w:ascii="Calibri" w:hAnsi="Calibri" w:cs="Calibri"/>
        </w:rPr>
        <w:t xml:space="preserve"> naudai</w:t>
      </w:r>
      <w:r w:rsidR="00D45856" w:rsidRPr="00244C6F">
        <w:rPr>
          <w:rFonts w:ascii="Calibri" w:hAnsi="Calibri" w:cs="Calibri"/>
        </w:rPr>
        <w:t>.</w:t>
      </w:r>
      <w:r w:rsidR="00D03464" w:rsidRPr="00244C6F">
        <w:rPr>
          <w:rFonts w:ascii="Calibri" w:hAnsi="Calibri" w:cs="Calibri"/>
        </w:rPr>
        <w:t xml:space="preserve"> </w:t>
      </w:r>
      <w:r w:rsidR="00712F5A" w:rsidRPr="00244C6F">
        <w:rPr>
          <w:rFonts w:ascii="Calibri" w:hAnsi="Calibri" w:cs="Calibri"/>
        </w:rPr>
        <w:t xml:space="preserve">Vis </w:t>
      </w:r>
      <w:r w:rsidRPr="00244C6F">
        <w:rPr>
          <w:rFonts w:ascii="Calibri" w:hAnsi="Calibri" w:cs="Calibri"/>
        </w:rPr>
        <w:t>dėlto</w:t>
      </w:r>
      <w:r w:rsidR="005A2437" w:rsidRPr="00244C6F">
        <w:rPr>
          <w:rFonts w:ascii="Calibri" w:hAnsi="Calibri" w:cs="Calibri"/>
        </w:rPr>
        <w:t xml:space="preserve"> galima teigti, kad</w:t>
      </w:r>
      <w:r w:rsidR="00712F5A" w:rsidRPr="00244C6F">
        <w:rPr>
          <w:rFonts w:ascii="Calibri" w:hAnsi="Calibri" w:cs="Calibri"/>
        </w:rPr>
        <w:t xml:space="preserve"> nuo </w:t>
      </w:r>
      <w:r w:rsidR="005A2437" w:rsidRPr="00244C6F">
        <w:rPr>
          <w:rFonts w:ascii="Calibri" w:hAnsi="Calibri" w:cs="Calibri"/>
        </w:rPr>
        <w:t xml:space="preserve">2022 metų tiek </w:t>
      </w:r>
      <w:r w:rsidR="006C6AF4" w:rsidRPr="00244C6F">
        <w:rPr>
          <w:rFonts w:ascii="Calibri" w:hAnsi="Calibri" w:cs="Calibri"/>
        </w:rPr>
        <w:t xml:space="preserve">vykdytinų </w:t>
      </w:r>
      <w:r w:rsidR="00D45856" w:rsidRPr="00244C6F">
        <w:rPr>
          <w:rFonts w:ascii="Calibri" w:hAnsi="Calibri" w:cs="Calibri"/>
        </w:rPr>
        <w:t xml:space="preserve">teismų </w:t>
      </w:r>
      <w:r w:rsidR="006C6AF4" w:rsidRPr="00244C6F">
        <w:rPr>
          <w:rFonts w:ascii="Calibri" w:hAnsi="Calibri" w:cs="Calibri"/>
        </w:rPr>
        <w:t>sprendimų</w:t>
      </w:r>
      <w:r w:rsidR="00D45856" w:rsidRPr="00244C6F">
        <w:rPr>
          <w:rFonts w:ascii="Calibri" w:hAnsi="Calibri" w:cs="Calibri"/>
        </w:rPr>
        <w:t xml:space="preserve"> dėl valdžios institucijų neteisėtų veiksmų</w:t>
      </w:r>
      <w:r w:rsidR="006C6AF4" w:rsidRPr="00244C6F">
        <w:rPr>
          <w:rFonts w:ascii="Calibri" w:hAnsi="Calibri" w:cs="Calibri"/>
        </w:rPr>
        <w:t xml:space="preserve"> atvej</w:t>
      </w:r>
      <w:r w:rsidR="008526D8" w:rsidRPr="00244C6F">
        <w:rPr>
          <w:rFonts w:ascii="Calibri" w:hAnsi="Calibri" w:cs="Calibri"/>
        </w:rPr>
        <w:t>ų</w:t>
      </w:r>
      <w:r w:rsidR="006C6AF4" w:rsidRPr="00244C6F">
        <w:rPr>
          <w:rFonts w:ascii="Calibri" w:hAnsi="Calibri" w:cs="Calibri"/>
        </w:rPr>
        <w:t>, tiek išmokam</w:t>
      </w:r>
      <w:r w:rsidR="008526D8" w:rsidRPr="00244C6F">
        <w:rPr>
          <w:rFonts w:ascii="Calibri" w:hAnsi="Calibri" w:cs="Calibri"/>
        </w:rPr>
        <w:t>ų</w:t>
      </w:r>
      <w:r w:rsidR="006C6AF4" w:rsidRPr="00244C6F">
        <w:rPr>
          <w:rFonts w:ascii="Calibri" w:hAnsi="Calibri" w:cs="Calibri"/>
        </w:rPr>
        <w:t xml:space="preserve"> </w:t>
      </w:r>
      <w:r w:rsidR="00D45856" w:rsidRPr="00244C6F">
        <w:rPr>
          <w:rFonts w:ascii="Calibri" w:hAnsi="Calibri" w:cs="Calibri"/>
        </w:rPr>
        <w:t xml:space="preserve">žalų </w:t>
      </w:r>
      <w:r w:rsidR="006C6AF4" w:rsidRPr="00244C6F">
        <w:rPr>
          <w:rFonts w:ascii="Calibri" w:hAnsi="Calibri" w:cs="Calibri"/>
        </w:rPr>
        <w:t>sum</w:t>
      </w:r>
      <w:r w:rsidR="008526D8" w:rsidRPr="00244C6F">
        <w:rPr>
          <w:rFonts w:ascii="Calibri" w:hAnsi="Calibri" w:cs="Calibri"/>
        </w:rPr>
        <w:t>ų</w:t>
      </w:r>
      <w:r w:rsidR="006C6AF4" w:rsidRPr="00244C6F">
        <w:rPr>
          <w:rFonts w:ascii="Calibri" w:hAnsi="Calibri" w:cs="Calibri"/>
        </w:rPr>
        <w:t xml:space="preserve"> </w:t>
      </w:r>
      <w:r w:rsidR="00D45856" w:rsidRPr="00244C6F">
        <w:rPr>
          <w:rFonts w:ascii="Calibri" w:hAnsi="Calibri" w:cs="Calibri"/>
        </w:rPr>
        <w:t xml:space="preserve">nuosekliai </w:t>
      </w:r>
      <w:r w:rsidR="006C6AF4" w:rsidRPr="00244C6F">
        <w:rPr>
          <w:rFonts w:ascii="Calibri" w:hAnsi="Calibri" w:cs="Calibri"/>
        </w:rPr>
        <w:t xml:space="preserve">mažėjo </w:t>
      </w:r>
      <w:r w:rsidR="00431580" w:rsidRPr="00244C6F">
        <w:rPr>
          <w:rFonts w:ascii="Calibri" w:hAnsi="Calibri" w:cs="Calibri"/>
        </w:rPr>
        <w:t>(žr. 1</w:t>
      </w:r>
      <w:r w:rsidRPr="00244C6F">
        <w:rPr>
          <w:rFonts w:ascii="Calibri" w:hAnsi="Calibri" w:cs="Calibri"/>
        </w:rPr>
        <w:t xml:space="preserve"> ir</w:t>
      </w:r>
      <w:r w:rsidR="005F0AC3" w:rsidRPr="00244C6F">
        <w:rPr>
          <w:rFonts w:ascii="Calibri" w:hAnsi="Calibri" w:cs="Calibri"/>
        </w:rPr>
        <w:t xml:space="preserve"> 2</w:t>
      </w:r>
      <w:r w:rsidR="00431580" w:rsidRPr="00244C6F">
        <w:rPr>
          <w:rFonts w:ascii="Calibri" w:hAnsi="Calibri" w:cs="Calibri"/>
        </w:rPr>
        <w:t xml:space="preserve"> </w:t>
      </w:r>
      <w:r w:rsidR="00E923A1" w:rsidRPr="00244C6F">
        <w:rPr>
          <w:rFonts w:ascii="Calibri" w:hAnsi="Calibri" w:cs="Calibri"/>
        </w:rPr>
        <w:t>pav</w:t>
      </w:r>
      <w:r w:rsidR="00D519B8" w:rsidRPr="00244C6F">
        <w:rPr>
          <w:rFonts w:ascii="Calibri" w:hAnsi="Calibri" w:cs="Calibri"/>
        </w:rPr>
        <w:t>.</w:t>
      </w:r>
      <w:r w:rsidR="00431580" w:rsidRPr="00244C6F">
        <w:rPr>
          <w:rFonts w:ascii="Calibri" w:hAnsi="Calibri" w:cs="Calibri"/>
        </w:rPr>
        <w:t>)</w:t>
      </w:r>
      <w:r w:rsidR="00CF5191" w:rsidRPr="00244C6F">
        <w:rPr>
          <w:rFonts w:ascii="Calibri" w:hAnsi="Calibri" w:cs="Calibri"/>
        </w:rPr>
        <w:t>.</w:t>
      </w:r>
      <w:r w:rsidR="00D45856" w:rsidRPr="00244C6F">
        <w:rPr>
          <w:rFonts w:ascii="Calibri" w:hAnsi="Calibri" w:cs="Calibri"/>
        </w:rPr>
        <w:t xml:space="preserve"> Šis pokytis leidžia daryti preliminarias išvadas, kad pastar</w:t>
      </w:r>
      <w:r w:rsidRPr="00244C6F">
        <w:rPr>
          <w:rFonts w:ascii="Calibri" w:hAnsi="Calibri" w:cs="Calibri"/>
        </w:rPr>
        <w:t>aisiais</w:t>
      </w:r>
      <w:r w:rsidR="00D45856" w:rsidRPr="00244C6F">
        <w:rPr>
          <w:rFonts w:ascii="Calibri" w:hAnsi="Calibri" w:cs="Calibri"/>
        </w:rPr>
        <w:t xml:space="preserve"> met</w:t>
      </w:r>
      <w:r w:rsidRPr="00244C6F">
        <w:rPr>
          <w:rFonts w:ascii="Calibri" w:hAnsi="Calibri" w:cs="Calibri"/>
        </w:rPr>
        <w:t>ais</w:t>
      </w:r>
      <w:r w:rsidR="00D45856" w:rsidRPr="00244C6F">
        <w:rPr>
          <w:rFonts w:ascii="Calibri" w:hAnsi="Calibri" w:cs="Calibri"/>
        </w:rPr>
        <w:t xml:space="preserve"> buvo sprendžiamos sisteminės </w:t>
      </w:r>
      <w:r w:rsidR="008A42DF" w:rsidRPr="00244C6F">
        <w:rPr>
          <w:rFonts w:ascii="Calibri" w:hAnsi="Calibri" w:cs="Calibri"/>
        </w:rPr>
        <w:t xml:space="preserve">anksčiau </w:t>
      </w:r>
      <w:r w:rsidR="00452E0C" w:rsidRPr="00244C6F">
        <w:rPr>
          <w:rFonts w:ascii="Calibri" w:hAnsi="Calibri" w:cs="Calibri"/>
        </w:rPr>
        <w:t xml:space="preserve">šios kategorijos </w:t>
      </w:r>
      <w:r w:rsidR="00D45856" w:rsidRPr="00244C6F">
        <w:rPr>
          <w:rFonts w:ascii="Calibri" w:hAnsi="Calibri" w:cs="Calibri"/>
        </w:rPr>
        <w:t>bylose keltos problemos.</w:t>
      </w:r>
    </w:p>
    <w:p w14:paraId="3BB5A2AA" w14:textId="77777777" w:rsidR="004B2045" w:rsidRPr="00244C6F" w:rsidRDefault="004B2045" w:rsidP="007F5374">
      <w:pPr>
        <w:spacing w:after="0"/>
        <w:jc w:val="both"/>
        <w:rPr>
          <w:rFonts w:ascii="Calibri" w:hAnsi="Calibri" w:cs="Calibri"/>
        </w:rPr>
      </w:pPr>
    </w:p>
    <w:p w14:paraId="41BA3BD6" w14:textId="2A58F473" w:rsidR="00994E2B" w:rsidRPr="00244C6F" w:rsidRDefault="005F0AC3" w:rsidP="005F0AC3">
      <w:pPr>
        <w:tabs>
          <w:tab w:val="left" w:pos="8530"/>
        </w:tabs>
        <w:spacing w:after="0"/>
        <w:jc w:val="both"/>
        <w:rPr>
          <w:rFonts w:ascii="Calibri" w:hAnsi="Calibri" w:cs="Calibri"/>
        </w:rPr>
      </w:pPr>
      <w:r w:rsidRPr="00244C6F">
        <w:rPr>
          <w:rFonts w:ascii="Calibri" w:hAnsi="Calibri" w:cs="Calibri"/>
        </w:rPr>
        <w:t xml:space="preserve">                                                                                                                                                          1 paveikslėlis</w:t>
      </w:r>
    </w:p>
    <w:p w14:paraId="115B0393" w14:textId="2D5A5C7C" w:rsidR="00994E2B" w:rsidRPr="00244C6F" w:rsidRDefault="002A5A76" w:rsidP="002A5A76">
      <w:pPr>
        <w:spacing w:after="0"/>
        <w:jc w:val="both"/>
        <w:rPr>
          <w:rFonts w:ascii="Calibri" w:hAnsi="Calibri" w:cs="Calibri"/>
        </w:rPr>
      </w:pPr>
      <w:r w:rsidRPr="002E641C">
        <w:rPr>
          <w:rFonts w:ascii="Calibri" w:hAnsi="Calibri" w:cs="Calibri"/>
          <w:noProof/>
        </w:rPr>
        <w:drawing>
          <wp:inline distT="0" distB="0" distL="0" distR="0" wp14:anchorId="7DD74495" wp14:editId="4176A28E">
            <wp:extent cx="6102350" cy="2463800"/>
            <wp:effectExtent l="0" t="0" r="12700" b="12700"/>
            <wp:docPr id="117542893" name="Diagrama 1">
              <a:extLst xmlns:a="http://schemas.openxmlformats.org/drawingml/2006/main">
                <a:ext uri="{FF2B5EF4-FFF2-40B4-BE49-F238E27FC236}">
                  <a16:creationId xmlns:a16="http://schemas.microsoft.com/office/drawing/2014/main" id="{0E3A978E-3DCD-45C6-B3B6-E03A86BFF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5492BD" w14:textId="0870274A" w:rsidR="00DB1006" w:rsidRPr="00244C6F" w:rsidRDefault="007F5374" w:rsidP="005F0AC3">
      <w:pPr>
        <w:spacing w:after="0"/>
        <w:jc w:val="both"/>
        <w:rPr>
          <w:rFonts w:ascii="Calibri" w:hAnsi="Calibri" w:cs="Calibri"/>
        </w:rPr>
      </w:pPr>
      <w:r w:rsidRPr="00244C6F">
        <w:rPr>
          <w:rFonts w:ascii="Calibri" w:hAnsi="Calibri" w:cs="Calibri"/>
        </w:rPr>
        <w:t xml:space="preserve">   </w:t>
      </w:r>
      <w:r w:rsidR="005F0AC3" w:rsidRPr="00244C6F">
        <w:rPr>
          <w:rFonts w:ascii="Calibri" w:hAnsi="Calibri" w:cs="Calibri"/>
        </w:rPr>
        <w:tab/>
        <w:t xml:space="preserve">       </w:t>
      </w:r>
    </w:p>
    <w:p w14:paraId="70873E63" w14:textId="77777777" w:rsidR="007E6BFC" w:rsidRPr="00244C6F" w:rsidRDefault="007F5374" w:rsidP="002A5A76">
      <w:pPr>
        <w:spacing w:after="0"/>
        <w:jc w:val="both"/>
        <w:rPr>
          <w:rFonts w:ascii="Calibri" w:hAnsi="Calibri" w:cs="Calibri"/>
        </w:rPr>
      </w:pPr>
      <w:r w:rsidRPr="00244C6F">
        <w:rPr>
          <w:rFonts w:ascii="Calibri" w:hAnsi="Calibri" w:cs="Calibri"/>
        </w:rPr>
        <w:t xml:space="preserve">                                                                                                                                                       </w:t>
      </w:r>
      <w:r w:rsidR="005D664A" w:rsidRPr="00244C6F">
        <w:rPr>
          <w:rFonts w:ascii="Calibri" w:hAnsi="Calibri" w:cs="Calibri"/>
        </w:rPr>
        <w:t xml:space="preserve">   </w:t>
      </w:r>
    </w:p>
    <w:p w14:paraId="46B553AD" w14:textId="455A0960" w:rsidR="007F5374" w:rsidRPr="00244C6F" w:rsidRDefault="002A5A76" w:rsidP="00CF503B">
      <w:pPr>
        <w:spacing w:after="0"/>
        <w:jc w:val="right"/>
        <w:rPr>
          <w:rFonts w:ascii="Calibri" w:hAnsi="Calibri" w:cs="Calibri"/>
        </w:rPr>
      </w:pPr>
      <w:r w:rsidRPr="00244C6F">
        <w:rPr>
          <w:rFonts w:ascii="Calibri" w:hAnsi="Calibri" w:cs="Calibri"/>
        </w:rPr>
        <w:t>2</w:t>
      </w:r>
      <w:r w:rsidR="007F5374" w:rsidRPr="00244C6F">
        <w:rPr>
          <w:rFonts w:ascii="Calibri" w:hAnsi="Calibri" w:cs="Calibri"/>
        </w:rPr>
        <w:t xml:space="preserve"> </w:t>
      </w:r>
      <w:r w:rsidR="00E923A1" w:rsidRPr="00244C6F">
        <w:rPr>
          <w:rFonts w:ascii="Calibri" w:hAnsi="Calibri" w:cs="Calibri"/>
        </w:rPr>
        <w:t>paveikslėlis</w:t>
      </w:r>
    </w:p>
    <w:p w14:paraId="2C61145C" w14:textId="4897D243" w:rsidR="0028175C" w:rsidRPr="00244C6F" w:rsidRDefault="00741D71" w:rsidP="006877D8">
      <w:pPr>
        <w:spacing w:after="0"/>
        <w:jc w:val="both"/>
        <w:rPr>
          <w:rFonts w:ascii="Calibri" w:hAnsi="Calibri" w:cs="Calibri"/>
        </w:rPr>
      </w:pPr>
      <w:r w:rsidRPr="002E641C">
        <w:rPr>
          <w:rFonts w:ascii="Calibri" w:hAnsi="Calibri" w:cs="Calibri"/>
          <w:noProof/>
        </w:rPr>
        <w:drawing>
          <wp:inline distT="0" distB="0" distL="0" distR="0" wp14:anchorId="036A41BD" wp14:editId="33BE3E4B">
            <wp:extent cx="6102350" cy="2305050"/>
            <wp:effectExtent l="0" t="0" r="12700" b="0"/>
            <wp:docPr id="638027507" name="Diagrama 1">
              <a:extLst xmlns:a="http://schemas.openxmlformats.org/drawingml/2006/main">
                <a:ext uri="{FF2B5EF4-FFF2-40B4-BE49-F238E27FC236}">
                  <a16:creationId xmlns:a16="http://schemas.microsoft.com/office/drawing/2014/main" id="{5054830C-44B2-4988-A96D-801DC5B64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BB16B4" w14:textId="7E197346" w:rsidR="00CF5191" w:rsidRPr="00244C6F" w:rsidRDefault="00431580" w:rsidP="00A924F2">
      <w:pPr>
        <w:spacing w:after="0"/>
        <w:jc w:val="both"/>
        <w:rPr>
          <w:rFonts w:ascii="Calibri" w:hAnsi="Calibri" w:cs="Calibri"/>
        </w:rPr>
      </w:pPr>
      <w:r w:rsidRPr="002E641C">
        <w:rPr>
          <w:rFonts w:ascii="Calibri" w:hAnsi="Calibri" w:cs="Calibri"/>
        </w:rPr>
        <w:lastRenderedPageBreak/>
        <w:tab/>
      </w:r>
      <w:r w:rsidRPr="002E641C">
        <w:rPr>
          <w:rFonts w:ascii="Calibri" w:hAnsi="Calibri" w:cs="Calibri"/>
        </w:rPr>
        <w:tab/>
      </w:r>
      <w:r w:rsidRPr="002E641C">
        <w:rPr>
          <w:rFonts w:ascii="Calibri" w:hAnsi="Calibri" w:cs="Calibri"/>
        </w:rPr>
        <w:tab/>
      </w:r>
      <w:r w:rsidRPr="002E641C">
        <w:rPr>
          <w:rFonts w:ascii="Calibri" w:hAnsi="Calibri" w:cs="Calibri"/>
        </w:rPr>
        <w:tab/>
      </w:r>
      <w:r w:rsidRPr="002E641C">
        <w:rPr>
          <w:rFonts w:ascii="Calibri" w:hAnsi="Calibri" w:cs="Calibri"/>
        </w:rPr>
        <w:tab/>
      </w:r>
    </w:p>
    <w:p w14:paraId="07D874AF" w14:textId="1BD51D7A" w:rsidR="00D00F76" w:rsidRPr="00244C6F" w:rsidRDefault="00CF5191" w:rsidP="002E641C">
      <w:pPr>
        <w:spacing w:after="0"/>
        <w:ind w:firstLine="720"/>
        <w:jc w:val="both"/>
        <w:rPr>
          <w:rFonts w:ascii="Calibri" w:hAnsi="Calibri" w:cs="Calibri"/>
        </w:rPr>
      </w:pPr>
      <w:r w:rsidRPr="00244C6F">
        <w:rPr>
          <w:rFonts w:ascii="Calibri" w:hAnsi="Calibri" w:cs="Calibri"/>
        </w:rPr>
        <w:t>Teisingumo ministerija, siek</w:t>
      </w:r>
      <w:r w:rsidR="008526D8" w:rsidRPr="00244C6F">
        <w:rPr>
          <w:rFonts w:ascii="Calibri" w:hAnsi="Calibri" w:cs="Calibri"/>
        </w:rPr>
        <w:t>dama</w:t>
      </w:r>
      <w:r w:rsidRPr="00244C6F">
        <w:rPr>
          <w:rFonts w:ascii="Calibri" w:hAnsi="Calibri" w:cs="Calibri"/>
        </w:rPr>
        <w:t xml:space="preserve"> efektyviai naudoti valstybės resursus, esant pagrįstiems reikalavima</w:t>
      </w:r>
      <w:r w:rsidR="0046111F">
        <w:rPr>
          <w:rFonts w:ascii="Calibri" w:hAnsi="Calibri" w:cs="Calibri"/>
        </w:rPr>
        <w:t>m</w:t>
      </w:r>
      <w:r w:rsidRPr="00244C6F">
        <w:rPr>
          <w:rFonts w:ascii="Calibri" w:hAnsi="Calibri" w:cs="Calibri"/>
        </w:rPr>
        <w:t xml:space="preserve">s, </w:t>
      </w:r>
      <w:r w:rsidR="002557BF" w:rsidRPr="00244C6F">
        <w:rPr>
          <w:rFonts w:ascii="Calibri" w:hAnsi="Calibri" w:cs="Calibri"/>
        </w:rPr>
        <w:t>pasitelkia</w:t>
      </w:r>
      <w:r w:rsidR="008526D8" w:rsidRPr="00244C6F">
        <w:rPr>
          <w:rFonts w:ascii="Calibri" w:hAnsi="Calibri" w:cs="Calibri"/>
        </w:rPr>
        <w:t xml:space="preserve"> </w:t>
      </w:r>
      <w:r w:rsidRPr="00244C6F">
        <w:rPr>
          <w:rFonts w:ascii="Calibri" w:hAnsi="Calibri" w:cs="Calibri"/>
        </w:rPr>
        <w:t>taik</w:t>
      </w:r>
      <w:r w:rsidR="008526D8" w:rsidRPr="00244C6F">
        <w:rPr>
          <w:rFonts w:ascii="Calibri" w:hAnsi="Calibri" w:cs="Calibri"/>
        </w:rPr>
        <w:t>iu</w:t>
      </w:r>
      <w:r w:rsidR="00540B23" w:rsidRPr="00244C6F">
        <w:rPr>
          <w:rFonts w:ascii="Calibri" w:hAnsi="Calibri" w:cs="Calibri"/>
        </w:rPr>
        <w:t>s</w:t>
      </w:r>
      <w:r w:rsidRPr="00244C6F">
        <w:rPr>
          <w:rFonts w:ascii="Calibri" w:hAnsi="Calibri" w:cs="Calibri"/>
        </w:rPr>
        <w:t xml:space="preserve"> ginčų sprendimo būd</w:t>
      </w:r>
      <w:r w:rsidR="008526D8" w:rsidRPr="00244C6F">
        <w:rPr>
          <w:rFonts w:ascii="Calibri" w:hAnsi="Calibri" w:cs="Calibri"/>
        </w:rPr>
        <w:t>us</w:t>
      </w:r>
      <w:r w:rsidRPr="00244C6F">
        <w:rPr>
          <w:rFonts w:ascii="Calibri" w:hAnsi="Calibri" w:cs="Calibri"/>
        </w:rPr>
        <w:t xml:space="preserve"> – sudaro</w:t>
      </w:r>
      <w:r w:rsidR="00034AAD" w:rsidRPr="00244C6F">
        <w:rPr>
          <w:rFonts w:ascii="Calibri" w:hAnsi="Calibri" w:cs="Calibri"/>
        </w:rPr>
        <w:t>mos</w:t>
      </w:r>
      <w:r w:rsidRPr="00244C6F">
        <w:rPr>
          <w:rFonts w:ascii="Calibri" w:hAnsi="Calibri" w:cs="Calibri"/>
        </w:rPr>
        <w:t xml:space="preserve"> taikos sutart</w:t>
      </w:r>
      <w:r w:rsidR="00034AAD" w:rsidRPr="00244C6F">
        <w:rPr>
          <w:rFonts w:ascii="Calibri" w:hAnsi="Calibri" w:cs="Calibri"/>
        </w:rPr>
        <w:t>y</w:t>
      </w:r>
      <w:r w:rsidRPr="00244C6F">
        <w:rPr>
          <w:rFonts w:ascii="Calibri" w:hAnsi="Calibri" w:cs="Calibri"/>
        </w:rPr>
        <w:t>s, dalyvauja</w:t>
      </w:r>
      <w:r w:rsidR="00034AAD" w:rsidRPr="00244C6F">
        <w:rPr>
          <w:rFonts w:ascii="Calibri" w:hAnsi="Calibri" w:cs="Calibri"/>
        </w:rPr>
        <w:t>ma</w:t>
      </w:r>
      <w:r w:rsidRPr="00244C6F">
        <w:rPr>
          <w:rFonts w:ascii="Calibri" w:hAnsi="Calibri" w:cs="Calibri"/>
        </w:rPr>
        <w:t xml:space="preserve"> teismo mediacijoje</w:t>
      </w:r>
      <w:r w:rsidR="00D635DC" w:rsidRPr="00244C6F">
        <w:rPr>
          <w:rFonts w:ascii="Calibri" w:hAnsi="Calibri" w:cs="Calibri"/>
        </w:rPr>
        <w:t xml:space="preserve"> (žr. </w:t>
      </w:r>
      <w:r w:rsidR="0040530C" w:rsidRPr="00244C6F">
        <w:rPr>
          <w:rFonts w:ascii="Calibri" w:hAnsi="Calibri" w:cs="Calibri"/>
        </w:rPr>
        <w:t>3</w:t>
      </w:r>
      <w:r w:rsidR="00D635DC" w:rsidRPr="00244C6F">
        <w:rPr>
          <w:rFonts w:ascii="Calibri" w:hAnsi="Calibri" w:cs="Calibri"/>
        </w:rPr>
        <w:t xml:space="preserve"> </w:t>
      </w:r>
      <w:r w:rsidR="0040530C" w:rsidRPr="00244C6F">
        <w:rPr>
          <w:rFonts w:ascii="Calibri" w:hAnsi="Calibri" w:cs="Calibri"/>
        </w:rPr>
        <w:t>pav</w:t>
      </w:r>
      <w:r w:rsidR="00D519B8" w:rsidRPr="00244C6F">
        <w:rPr>
          <w:rFonts w:ascii="Calibri" w:hAnsi="Calibri" w:cs="Calibri"/>
        </w:rPr>
        <w:t>.</w:t>
      </w:r>
      <w:r w:rsidR="00D635DC" w:rsidRPr="00244C6F">
        <w:rPr>
          <w:rFonts w:ascii="Calibri" w:hAnsi="Calibri" w:cs="Calibri"/>
        </w:rPr>
        <w:t>)</w:t>
      </w:r>
      <w:r w:rsidRPr="00244C6F">
        <w:rPr>
          <w:rFonts w:ascii="Calibri" w:hAnsi="Calibri" w:cs="Calibri"/>
        </w:rPr>
        <w:t xml:space="preserve">. </w:t>
      </w:r>
      <w:r w:rsidR="00E148A4" w:rsidRPr="00244C6F">
        <w:rPr>
          <w:rFonts w:ascii="Calibri" w:hAnsi="Calibri" w:cs="Calibri"/>
        </w:rPr>
        <w:t>Š</w:t>
      </w:r>
      <w:r w:rsidR="00CF4B8B" w:rsidRPr="00244C6F">
        <w:rPr>
          <w:rFonts w:ascii="Calibri" w:hAnsi="Calibri" w:cs="Calibri"/>
        </w:rPr>
        <w:t>iais susitarimais</w:t>
      </w:r>
      <w:r w:rsidR="001D3ED7">
        <w:rPr>
          <w:rFonts w:ascii="Calibri" w:hAnsi="Calibri" w:cs="Calibri"/>
        </w:rPr>
        <w:t xml:space="preserve"> 2024 metais</w:t>
      </w:r>
      <w:r w:rsidR="00CF4B8B" w:rsidRPr="00244C6F">
        <w:rPr>
          <w:rFonts w:ascii="Calibri" w:hAnsi="Calibri" w:cs="Calibri"/>
        </w:rPr>
        <w:t xml:space="preserve"> buvo </w:t>
      </w:r>
      <w:r w:rsidRPr="00244C6F">
        <w:rPr>
          <w:rFonts w:ascii="Calibri" w:hAnsi="Calibri" w:cs="Calibri"/>
        </w:rPr>
        <w:t xml:space="preserve">sumažinta </w:t>
      </w:r>
      <w:r w:rsidR="008149DC" w:rsidRPr="00244C6F">
        <w:rPr>
          <w:rFonts w:ascii="Calibri" w:hAnsi="Calibri" w:cs="Calibri"/>
        </w:rPr>
        <w:t xml:space="preserve">reikšminga </w:t>
      </w:r>
      <w:r w:rsidRPr="00244C6F">
        <w:rPr>
          <w:rFonts w:ascii="Calibri" w:hAnsi="Calibri" w:cs="Calibri"/>
        </w:rPr>
        <w:t>reikalavimų sum</w:t>
      </w:r>
      <w:r w:rsidR="008149DC" w:rsidRPr="00244C6F">
        <w:rPr>
          <w:rFonts w:ascii="Calibri" w:hAnsi="Calibri" w:cs="Calibri"/>
        </w:rPr>
        <w:t>os dalis</w:t>
      </w:r>
      <w:r w:rsidR="008526D8" w:rsidRPr="00244C6F">
        <w:rPr>
          <w:rFonts w:ascii="Calibri" w:hAnsi="Calibri" w:cs="Calibri"/>
        </w:rPr>
        <w:t> –</w:t>
      </w:r>
      <w:r w:rsidRPr="00244C6F">
        <w:rPr>
          <w:rFonts w:ascii="Calibri" w:hAnsi="Calibri" w:cs="Calibri"/>
        </w:rPr>
        <w:t xml:space="preserve"> iš viso 1 848 482</w:t>
      </w:r>
      <w:r w:rsidR="008526D8" w:rsidRPr="00244C6F">
        <w:rPr>
          <w:rFonts w:ascii="Calibri" w:hAnsi="Calibri" w:cs="Calibri"/>
        </w:rPr>
        <w:t> </w:t>
      </w:r>
      <w:r w:rsidRPr="00244C6F">
        <w:rPr>
          <w:rFonts w:ascii="Calibri" w:hAnsi="Calibri" w:cs="Calibri"/>
        </w:rPr>
        <w:t>Eur</w:t>
      </w:r>
      <w:r w:rsidR="002C786C" w:rsidRPr="00244C6F">
        <w:rPr>
          <w:rFonts w:ascii="Calibri" w:hAnsi="Calibri" w:cs="Calibri"/>
        </w:rPr>
        <w:t>.</w:t>
      </w:r>
      <w:r w:rsidRPr="00244C6F">
        <w:rPr>
          <w:rFonts w:ascii="Calibri" w:hAnsi="Calibri" w:cs="Calibri"/>
        </w:rPr>
        <w:t xml:space="preserve"> </w:t>
      </w:r>
    </w:p>
    <w:p w14:paraId="625A040E" w14:textId="02591473" w:rsidR="00CF5191" w:rsidRPr="00244C6F" w:rsidRDefault="00D635DC" w:rsidP="006877D8">
      <w:pPr>
        <w:tabs>
          <w:tab w:val="left" w:pos="8364"/>
        </w:tabs>
        <w:spacing w:after="0"/>
        <w:jc w:val="both"/>
        <w:rPr>
          <w:rFonts w:ascii="Calibri" w:hAnsi="Calibri" w:cs="Calibri"/>
        </w:rPr>
      </w:pPr>
      <w:r w:rsidRPr="002E641C">
        <w:rPr>
          <w:rFonts w:ascii="Calibri" w:hAnsi="Calibri" w:cs="Calibri"/>
        </w:rPr>
        <w:t xml:space="preserve">                                                                                                                                                       </w:t>
      </w:r>
      <w:r w:rsidRPr="00244C6F">
        <w:rPr>
          <w:rFonts w:ascii="Calibri" w:hAnsi="Calibri" w:cs="Calibri"/>
        </w:rPr>
        <w:t xml:space="preserve">3 </w:t>
      </w:r>
      <w:r w:rsidR="000D3FDA" w:rsidRPr="00244C6F">
        <w:rPr>
          <w:rFonts w:ascii="Calibri" w:hAnsi="Calibri" w:cs="Calibri"/>
        </w:rPr>
        <w:t>paveikslėlis</w:t>
      </w:r>
    </w:p>
    <w:p w14:paraId="16D3DDCE" w14:textId="77777777" w:rsidR="000D3FDA" w:rsidRPr="00244C6F" w:rsidRDefault="000D3FDA" w:rsidP="006877D8">
      <w:pPr>
        <w:spacing w:after="0"/>
        <w:jc w:val="both"/>
        <w:rPr>
          <w:rFonts w:ascii="Calibri" w:hAnsi="Calibri" w:cs="Calibri"/>
        </w:rPr>
      </w:pPr>
      <w:r w:rsidRPr="002E641C">
        <w:rPr>
          <w:rFonts w:ascii="Calibri" w:hAnsi="Calibri" w:cs="Calibri"/>
          <w:noProof/>
        </w:rPr>
        <w:drawing>
          <wp:inline distT="0" distB="0" distL="0" distR="0" wp14:anchorId="61964001" wp14:editId="62607827">
            <wp:extent cx="6045200" cy="3670300"/>
            <wp:effectExtent l="0" t="0" r="12700" b="6350"/>
            <wp:docPr id="467050947" name="Diagrama 1">
              <a:extLst xmlns:a="http://schemas.openxmlformats.org/drawingml/2006/main">
                <a:ext uri="{FF2B5EF4-FFF2-40B4-BE49-F238E27FC236}">
                  <a16:creationId xmlns:a16="http://schemas.microsoft.com/office/drawing/2014/main" id="{86018853-B5BF-438B-893C-E9FFD70617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3154D2" w:rsidRPr="00244C6F">
        <w:rPr>
          <w:rFonts w:ascii="Calibri" w:hAnsi="Calibri" w:cs="Calibri"/>
        </w:rPr>
        <w:t xml:space="preserve">  </w:t>
      </w:r>
    </w:p>
    <w:p w14:paraId="733AC832" w14:textId="252787F1" w:rsidR="009E6C0B" w:rsidRPr="00244C6F" w:rsidRDefault="003154D2" w:rsidP="00A4700E">
      <w:pPr>
        <w:spacing w:after="0"/>
        <w:jc w:val="both"/>
        <w:rPr>
          <w:rFonts w:ascii="Calibri" w:hAnsi="Calibri" w:cs="Calibri"/>
        </w:rPr>
      </w:pPr>
      <w:r w:rsidRPr="00244C6F">
        <w:rPr>
          <w:rFonts w:ascii="Calibri" w:hAnsi="Calibri" w:cs="Calibri"/>
        </w:rPr>
        <w:t xml:space="preserve">           </w:t>
      </w:r>
    </w:p>
    <w:p w14:paraId="0591CD04" w14:textId="7A36B334" w:rsidR="00CF5191" w:rsidRPr="002E641C" w:rsidRDefault="00CF5191" w:rsidP="006877D8">
      <w:pPr>
        <w:spacing w:after="0"/>
        <w:jc w:val="both"/>
        <w:rPr>
          <w:rFonts w:ascii="Calibri" w:hAnsi="Calibri" w:cs="Calibri"/>
        </w:rPr>
      </w:pPr>
    </w:p>
    <w:p w14:paraId="1FB84E56" w14:textId="0B1A2D92" w:rsidR="006A3361" w:rsidRPr="002E641C" w:rsidRDefault="00014250" w:rsidP="00014250">
      <w:pPr>
        <w:rPr>
          <w:rFonts w:ascii="Calibri" w:hAnsi="Calibri" w:cs="Calibri"/>
        </w:rPr>
      </w:pPr>
      <w:r w:rsidRPr="002E641C">
        <w:rPr>
          <w:rFonts w:ascii="Calibri" w:hAnsi="Calibri" w:cs="Calibri"/>
        </w:rPr>
        <w:br w:type="page"/>
      </w:r>
    </w:p>
    <w:p w14:paraId="28A70609" w14:textId="71680AAA" w:rsidR="00C32D0C" w:rsidRPr="002E641C" w:rsidRDefault="0015579B" w:rsidP="002E641C">
      <w:pPr>
        <w:spacing w:after="0"/>
        <w:ind w:firstLine="720"/>
        <w:jc w:val="both"/>
        <w:rPr>
          <w:rFonts w:ascii="Calibri" w:hAnsi="Calibri" w:cs="Calibri"/>
        </w:rPr>
      </w:pPr>
      <w:r w:rsidRPr="002E641C">
        <w:rPr>
          <w:rFonts w:ascii="Calibri" w:hAnsi="Calibri" w:cs="Calibri"/>
        </w:rPr>
        <w:lastRenderedPageBreak/>
        <w:t>Teisingumo ministerij</w:t>
      </w:r>
      <w:r w:rsidR="00A45588" w:rsidRPr="002E641C">
        <w:rPr>
          <w:rFonts w:ascii="Calibri" w:hAnsi="Calibri" w:cs="Calibri"/>
        </w:rPr>
        <w:t>a, kaip asignavimų žaloms išmokėti valdytoja</w:t>
      </w:r>
      <w:r w:rsidR="00C32712" w:rsidRPr="002E641C">
        <w:rPr>
          <w:rFonts w:ascii="Calibri" w:hAnsi="Calibri" w:cs="Calibri"/>
        </w:rPr>
        <w:t>, prašo atsakingų institucijų</w:t>
      </w:r>
      <w:r w:rsidR="008328BF" w:rsidRPr="002E641C">
        <w:rPr>
          <w:rFonts w:ascii="Calibri" w:hAnsi="Calibri" w:cs="Calibri"/>
        </w:rPr>
        <w:t xml:space="preserve"> </w:t>
      </w:r>
      <w:r w:rsidR="00C9179A" w:rsidRPr="002E641C">
        <w:rPr>
          <w:rFonts w:ascii="Calibri" w:hAnsi="Calibri" w:cs="Calibri"/>
        </w:rPr>
        <w:t>patikrinti (įvertinti), ar yra pagrindas atgręžtiniam</w:t>
      </w:r>
      <w:r w:rsidR="00B37B35" w:rsidRPr="002E641C">
        <w:rPr>
          <w:rFonts w:ascii="Calibri" w:hAnsi="Calibri" w:cs="Calibri"/>
        </w:rPr>
        <w:t xml:space="preserve"> reikalavimui</w:t>
      </w:r>
      <w:r w:rsidR="00EB4B0E" w:rsidRPr="002E641C">
        <w:rPr>
          <w:rFonts w:ascii="Calibri" w:hAnsi="Calibri" w:cs="Calibri"/>
        </w:rPr>
        <w:t>,</w:t>
      </w:r>
      <w:r w:rsidR="00B821CD" w:rsidRPr="002E641C">
        <w:rPr>
          <w:rFonts w:ascii="Calibri" w:hAnsi="Calibri" w:cs="Calibri"/>
        </w:rPr>
        <w:t xml:space="preserve"> ir, esant pagrindui, spręsti klausimą dėl valstybės regreso teisės įgyvendinimo, taip pat</w:t>
      </w:r>
      <w:r w:rsidR="00C32712" w:rsidRPr="002E641C">
        <w:rPr>
          <w:rFonts w:ascii="Calibri" w:hAnsi="Calibri" w:cs="Calibri"/>
        </w:rPr>
        <w:t xml:space="preserve"> pranešti apie sprendimą dėl regreso teisės (ne)įgyvendinimo ir jo</w:t>
      </w:r>
      <w:r w:rsidR="008328BF" w:rsidRPr="002E641C">
        <w:rPr>
          <w:rFonts w:ascii="Calibri" w:hAnsi="Calibri" w:cs="Calibri"/>
        </w:rPr>
        <w:t xml:space="preserve"> motyvus. </w:t>
      </w:r>
      <w:r w:rsidR="000D6765" w:rsidRPr="002E641C">
        <w:rPr>
          <w:rFonts w:ascii="Calibri" w:hAnsi="Calibri" w:cs="Calibri"/>
        </w:rPr>
        <w:t>Palygin</w:t>
      </w:r>
      <w:r w:rsidR="001C79DC" w:rsidRPr="002E641C">
        <w:rPr>
          <w:rFonts w:ascii="Calibri" w:hAnsi="Calibri" w:cs="Calibri"/>
        </w:rPr>
        <w:t>t</w:t>
      </w:r>
      <w:r w:rsidR="000D6765" w:rsidRPr="002E641C">
        <w:rPr>
          <w:rFonts w:ascii="Calibri" w:hAnsi="Calibri" w:cs="Calibri"/>
        </w:rPr>
        <w:t>i pateikiam</w:t>
      </w:r>
      <w:r w:rsidR="00F0013F" w:rsidRPr="002E641C">
        <w:rPr>
          <w:rFonts w:ascii="Calibri" w:hAnsi="Calibri" w:cs="Calibri"/>
        </w:rPr>
        <w:t>i</w:t>
      </w:r>
      <w:r w:rsidR="000D6765" w:rsidRPr="002E641C">
        <w:rPr>
          <w:rFonts w:ascii="Calibri" w:hAnsi="Calibri" w:cs="Calibri"/>
        </w:rPr>
        <w:t xml:space="preserve"> duomenys apie regreso inici</w:t>
      </w:r>
      <w:r w:rsidR="001C79DC" w:rsidRPr="002E641C">
        <w:rPr>
          <w:rFonts w:ascii="Calibri" w:hAnsi="Calibri" w:cs="Calibri"/>
        </w:rPr>
        <w:t>j</w:t>
      </w:r>
      <w:r w:rsidR="000D6765" w:rsidRPr="002E641C">
        <w:rPr>
          <w:rFonts w:ascii="Calibri" w:hAnsi="Calibri" w:cs="Calibri"/>
        </w:rPr>
        <w:t>avimo</w:t>
      </w:r>
      <w:r w:rsidR="00F0013F" w:rsidRPr="002E641C">
        <w:rPr>
          <w:rFonts w:ascii="Calibri" w:hAnsi="Calibri" w:cs="Calibri"/>
        </w:rPr>
        <w:t xml:space="preserve"> atvejus</w:t>
      </w:r>
      <w:r w:rsidR="000F115F" w:rsidRPr="002E641C">
        <w:rPr>
          <w:rFonts w:ascii="Calibri" w:hAnsi="Calibri" w:cs="Calibri"/>
        </w:rPr>
        <w:t xml:space="preserve"> (žr.</w:t>
      </w:r>
      <w:r w:rsidR="000A13AE" w:rsidRPr="00244C6F">
        <w:rPr>
          <w:rFonts w:ascii="Calibri" w:hAnsi="Calibri" w:cs="Calibri"/>
        </w:rPr>
        <w:t> </w:t>
      </w:r>
      <w:r w:rsidR="003F5EAD" w:rsidRPr="002E641C">
        <w:rPr>
          <w:rFonts w:ascii="Calibri" w:hAnsi="Calibri" w:cs="Calibri"/>
        </w:rPr>
        <w:t>4</w:t>
      </w:r>
      <w:r w:rsidR="000A13AE" w:rsidRPr="00244C6F">
        <w:rPr>
          <w:rFonts w:ascii="Calibri" w:hAnsi="Calibri" w:cs="Calibri"/>
        </w:rPr>
        <w:t> </w:t>
      </w:r>
      <w:r w:rsidR="000F115F" w:rsidRPr="002E641C">
        <w:rPr>
          <w:rFonts w:ascii="Calibri" w:hAnsi="Calibri" w:cs="Calibri"/>
        </w:rPr>
        <w:t>pav</w:t>
      </w:r>
      <w:r w:rsidR="00E63CDE" w:rsidRPr="002E641C">
        <w:rPr>
          <w:rFonts w:ascii="Calibri" w:hAnsi="Calibri" w:cs="Calibri"/>
        </w:rPr>
        <w:t>.</w:t>
      </w:r>
      <w:r w:rsidR="000F115F" w:rsidRPr="002E641C">
        <w:rPr>
          <w:rFonts w:ascii="Calibri" w:hAnsi="Calibri" w:cs="Calibri"/>
        </w:rPr>
        <w:t>)</w:t>
      </w:r>
      <w:r w:rsidR="000D6765" w:rsidRPr="002E641C">
        <w:rPr>
          <w:rFonts w:ascii="Calibri" w:hAnsi="Calibri" w:cs="Calibri"/>
        </w:rPr>
        <w:t xml:space="preserve"> ir </w:t>
      </w:r>
      <w:r w:rsidR="004730A6" w:rsidRPr="002E641C">
        <w:rPr>
          <w:rFonts w:ascii="Calibri" w:hAnsi="Calibri" w:cs="Calibri"/>
        </w:rPr>
        <w:t>regreso tvarka valstybei grąžintas sumas</w:t>
      </w:r>
      <w:r w:rsidR="000F115F" w:rsidRPr="002E641C">
        <w:rPr>
          <w:rFonts w:ascii="Calibri" w:hAnsi="Calibri" w:cs="Calibri"/>
        </w:rPr>
        <w:t xml:space="preserve"> (žr.</w:t>
      </w:r>
      <w:r w:rsidR="001C79DC" w:rsidRPr="00244C6F">
        <w:rPr>
          <w:rFonts w:ascii="Calibri" w:hAnsi="Calibri" w:cs="Calibri"/>
        </w:rPr>
        <w:t> </w:t>
      </w:r>
      <w:r w:rsidR="003F5EAD" w:rsidRPr="002E641C">
        <w:rPr>
          <w:rFonts w:ascii="Calibri" w:hAnsi="Calibri" w:cs="Calibri"/>
        </w:rPr>
        <w:t>5</w:t>
      </w:r>
      <w:r w:rsidR="001C79DC" w:rsidRPr="00244C6F">
        <w:rPr>
          <w:rFonts w:ascii="Calibri" w:hAnsi="Calibri" w:cs="Calibri"/>
        </w:rPr>
        <w:t> </w:t>
      </w:r>
      <w:r w:rsidR="000F115F" w:rsidRPr="002E641C">
        <w:rPr>
          <w:rFonts w:ascii="Calibri" w:hAnsi="Calibri" w:cs="Calibri"/>
        </w:rPr>
        <w:t>pav</w:t>
      </w:r>
      <w:r w:rsidR="00E63CDE" w:rsidRPr="002E641C">
        <w:rPr>
          <w:rFonts w:ascii="Calibri" w:hAnsi="Calibri" w:cs="Calibri"/>
        </w:rPr>
        <w:t>.</w:t>
      </w:r>
      <w:r w:rsidR="000F115F" w:rsidRPr="002E641C">
        <w:rPr>
          <w:rFonts w:ascii="Calibri" w:hAnsi="Calibri" w:cs="Calibri"/>
        </w:rPr>
        <w:t>)</w:t>
      </w:r>
      <w:r w:rsidR="004730A6" w:rsidRPr="002E641C">
        <w:rPr>
          <w:rFonts w:ascii="Calibri" w:hAnsi="Calibri" w:cs="Calibri"/>
        </w:rPr>
        <w:t xml:space="preserve">. Teisingumo ministerijoje šie duomenys sisteminami </w:t>
      </w:r>
      <w:r w:rsidR="007B151E" w:rsidRPr="002E641C">
        <w:rPr>
          <w:rFonts w:ascii="Calibri" w:hAnsi="Calibri" w:cs="Calibri"/>
        </w:rPr>
        <w:t xml:space="preserve">tik </w:t>
      </w:r>
      <w:r w:rsidR="004730A6" w:rsidRPr="002E641C">
        <w:rPr>
          <w:rFonts w:ascii="Calibri" w:hAnsi="Calibri" w:cs="Calibri"/>
        </w:rPr>
        <w:t xml:space="preserve">nuo </w:t>
      </w:r>
      <w:r w:rsidR="000D6695" w:rsidRPr="002E641C">
        <w:rPr>
          <w:rFonts w:ascii="Calibri" w:hAnsi="Calibri" w:cs="Calibri"/>
        </w:rPr>
        <w:t>2021 metų</w:t>
      </w:r>
      <w:r w:rsidR="007B151E" w:rsidRPr="002E641C">
        <w:rPr>
          <w:rFonts w:ascii="Calibri" w:hAnsi="Calibri" w:cs="Calibri"/>
        </w:rPr>
        <w:t>. Kaip galima matyti</w:t>
      </w:r>
      <w:r w:rsidR="0060698F" w:rsidRPr="002E641C">
        <w:rPr>
          <w:rFonts w:ascii="Calibri" w:hAnsi="Calibri" w:cs="Calibri"/>
        </w:rPr>
        <w:t xml:space="preserve"> iš </w:t>
      </w:r>
      <w:r w:rsidR="00E63CDE" w:rsidRPr="002E641C">
        <w:rPr>
          <w:rFonts w:ascii="Calibri" w:hAnsi="Calibri" w:cs="Calibri"/>
        </w:rPr>
        <w:t xml:space="preserve">pateiktų </w:t>
      </w:r>
      <w:r w:rsidR="0060698F" w:rsidRPr="002E641C">
        <w:rPr>
          <w:rFonts w:ascii="Calibri" w:hAnsi="Calibri" w:cs="Calibri"/>
        </w:rPr>
        <w:t>duomenų,</w:t>
      </w:r>
      <w:r w:rsidR="00304192" w:rsidRPr="002E641C">
        <w:rPr>
          <w:rFonts w:ascii="Calibri" w:hAnsi="Calibri" w:cs="Calibri"/>
        </w:rPr>
        <w:t xml:space="preserve"> </w:t>
      </w:r>
      <w:r w:rsidR="00CF5191" w:rsidRPr="002E641C">
        <w:rPr>
          <w:rFonts w:ascii="Calibri" w:hAnsi="Calibri" w:cs="Calibri"/>
        </w:rPr>
        <w:t>2024 m</w:t>
      </w:r>
      <w:r w:rsidR="00EE3EF6" w:rsidRPr="002E641C">
        <w:rPr>
          <w:rFonts w:ascii="Calibri" w:hAnsi="Calibri" w:cs="Calibri"/>
        </w:rPr>
        <w:t xml:space="preserve">etais </w:t>
      </w:r>
      <w:r w:rsidR="00CF5191" w:rsidRPr="002E641C">
        <w:rPr>
          <w:rFonts w:ascii="Calibri" w:hAnsi="Calibri" w:cs="Calibri"/>
        </w:rPr>
        <w:t>regreso tvarka valstybei grąžint</w:t>
      </w:r>
      <w:r w:rsidR="00B00FDE" w:rsidRPr="002E641C">
        <w:rPr>
          <w:rFonts w:ascii="Calibri" w:hAnsi="Calibri" w:cs="Calibri"/>
        </w:rPr>
        <w:t>a</w:t>
      </w:r>
      <w:r w:rsidR="00EE3EF6" w:rsidRPr="002E641C">
        <w:rPr>
          <w:rFonts w:ascii="Calibri" w:hAnsi="Calibri" w:cs="Calibri"/>
        </w:rPr>
        <w:t xml:space="preserve"> sum</w:t>
      </w:r>
      <w:r w:rsidR="00B00FDE" w:rsidRPr="002E641C">
        <w:rPr>
          <w:rFonts w:ascii="Calibri" w:hAnsi="Calibri" w:cs="Calibri"/>
        </w:rPr>
        <w:t>a yra 4</w:t>
      </w:r>
      <w:r w:rsidR="001C79DC" w:rsidRPr="00244C6F">
        <w:rPr>
          <w:rFonts w:ascii="Calibri" w:hAnsi="Calibri" w:cs="Calibri"/>
        </w:rPr>
        <w:t> </w:t>
      </w:r>
      <w:r w:rsidR="00B00FDE" w:rsidRPr="002E641C">
        <w:rPr>
          <w:rFonts w:ascii="Calibri" w:hAnsi="Calibri" w:cs="Calibri"/>
        </w:rPr>
        <w:t xml:space="preserve">kartus mažesnė nei </w:t>
      </w:r>
      <w:r w:rsidR="007D2BF9" w:rsidRPr="002E641C">
        <w:rPr>
          <w:rFonts w:ascii="Calibri" w:hAnsi="Calibri" w:cs="Calibri"/>
        </w:rPr>
        <w:t>2023</w:t>
      </w:r>
      <w:r w:rsidR="00627DBE" w:rsidRPr="00244C6F">
        <w:rPr>
          <w:rFonts w:ascii="Calibri" w:hAnsi="Calibri" w:cs="Calibri"/>
        </w:rPr>
        <w:t> </w:t>
      </w:r>
      <w:r w:rsidR="00B00FDE" w:rsidRPr="002E641C">
        <w:rPr>
          <w:rFonts w:ascii="Calibri" w:hAnsi="Calibri" w:cs="Calibri"/>
        </w:rPr>
        <w:t>metais</w:t>
      </w:r>
      <w:r w:rsidR="007B151E" w:rsidRPr="002E641C">
        <w:rPr>
          <w:rFonts w:ascii="Calibri" w:hAnsi="Calibri" w:cs="Calibri"/>
        </w:rPr>
        <w:t>.</w:t>
      </w:r>
      <w:r w:rsidR="00D754E1" w:rsidRPr="002E641C">
        <w:rPr>
          <w:rFonts w:ascii="Calibri" w:hAnsi="Calibri" w:cs="Calibri"/>
        </w:rPr>
        <w:t xml:space="preserve"> </w:t>
      </w:r>
      <w:r w:rsidR="00C32D0C" w:rsidRPr="002E641C">
        <w:rPr>
          <w:rFonts w:ascii="Calibri" w:hAnsi="Calibri" w:cs="Calibri"/>
        </w:rPr>
        <w:t>Teisingumo ministerija, kaip regreso koordinatorė, aktyviai seka atvejus,</w:t>
      </w:r>
      <w:r w:rsidR="00DD2E33" w:rsidRPr="002E641C">
        <w:rPr>
          <w:rFonts w:ascii="Calibri" w:hAnsi="Calibri" w:cs="Calibri"/>
        </w:rPr>
        <w:t xml:space="preserve"> kuriais turėtų būti vertinamas regreso</w:t>
      </w:r>
      <w:r w:rsidR="00BD6B70" w:rsidRPr="002E641C">
        <w:rPr>
          <w:rFonts w:ascii="Calibri" w:hAnsi="Calibri" w:cs="Calibri"/>
        </w:rPr>
        <w:t xml:space="preserve"> įgyvendinimas, ragina</w:t>
      </w:r>
      <w:r w:rsidR="00033304" w:rsidRPr="002E641C">
        <w:rPr>
          <w:rFonts w:ascii="Calibri" w:hAnsi="Calibri" w:cs="Calibri"/>
        </w:rPr>
        <w:t xml:space="preserve"> atitinkamas</w:t>
      </w:r>
      <w:r w:rsidR="00C32D0C" w:rsidRPr="002E641C">
        <w:rPr>
          <w:rFonts w:ascii="Calibri" w:hAnsi="Calibri" w:cs="Calibri"/>
        </w:rPr>
        <w:t xml:space="preserve"> institucijas </w:t>
      </w:r>
      <w:r w:rsidR="00BD6B70" w:rsidRPr="002E641C">
        <w:rPr>
          <w:rFonts w:ascii="Calibri" w:hAnsi="Calibri" w:cs="Calibri"/>
        </w:rPr>
        <w:t xml:space="preserve">atlikti </w:t>
      </w:r>
      <w:r w:rsidR="00761B60" w:rsidRPr="002E641C">
        <w:rPr>
          <w:rFonts w:ascii="Calibri" w:hAnsi="Calibri" w:cs="Calibri"/>
        </w:rPr>
        <w:t xml:space="preserve">situacijų </w:t>
      </w:r>
      <w:r w:rsidR="00EE451A" w:rsidRPr="002E641C">
        <w:rPr>
          <w:rFonts w:ascii="Calibri" w:hAnsi="Calibri" w:cs="Calibri"/>
        </w:rPr>
        <w:t>vertinimus</w:t>
      </w:r>
      <w:r w:rsidR="00C32D0C" w:rsidRPr="002E641C">
        <w:rPr>
          <w:rFonts w:ascii="Calibri" w:hAnsi="Calibri" w:cs="Calibri"/>
        </w:rPr>
        <w:t xml:space="preserve"> ir atidžiai </w:t>
      </w:r>
      <w:r w:rsidR="001C79DC" w:rsidRPr="002E641C">
        <w:rPr>
          <w:rFonts w:ascii="Calibri" w:hAnsi="Calibri" w:cs="Calibri"/>
        </w:rPr>
        <w:t xml:space="preserve">analizuoja </w:t>
      </w:r>
      <w:r w:rsidR="00C32D0C" w:rsidRPr="002E641C">
        <w:rPr>
          <w:rFonts w:ascii="Calibri" w:hAnsi="Calibri" w:cs="Calibri"/>
        </w:rPr>
        <w:t xml:space="preserve">jų </w:t>
      </w:r>
      <w:r w:rsidR="001C79DC" w:rsidRPr="002E641C">
        <w:rPr>
          <w:rFonts w:ascii="Calibri" w:hAnsi="Calibri" w:cs="Calibri"/>
        </w:rPr>
        <w:t>pa</w:t>
      </w:r>
      <w:r w:rsidR="00854978" w:rsidRPr="002E641C">
        <w:rPr>
          <w:rFonts w:ascii="Calibri" w:hAnsi="Calibri" w:cs="Calibri"/>
        </w:rPr>
        <w:t xml:space="preserve">teikiamus </w:t>
      </w:r>
      <w:r w:rsidR="00C32D0C" w:rsidRPr="002E641C">
        <w:rPr>
          <w:rFonts w:ascii="Calibri" w:hAnsi="Calibri" w:cs="Calibri"/>
        </w:rPr>
        <w:t xml:space="preserve">atsakymus. </w:t>
      </w:r>
      <w:r w:rsidR="00854978" w:rsidRPr="002E641C">
        <w:rPr>
          <w:rFonts w:ascii="Calibri" w:hAnsi="Calibri" w:cs="Calibri"/>
        </w:rPr>
        <w:t xml:space="preserve">Vis </w:t>
      </w:r>
      <w:r w:rsidR="001C79DC" w:rsidRPr="002E641C">
        <w:rPr>
          <w:rFonts w:ascii="Calibri" w:hAnsi="Calibri" w:cs="Calibri"/>
        </w:rPr>
        <w:t xml:space="preserve">dėlto </w:t>
      </w:r>
      <w:r w:rsidR="00C32D0C" w:rsidRPr="002E641C">
        <w:rPr>
          <w:rFonts w:ascii="Calibri" w:hAnsi="Calibri" w:cs="Calibri"/>
        </w:rPr>
        <w:t>daug kas priklauso nuo pačių institucijų diskrecijos</w:t>
      </w:r>
      <w:r w:rsidR="001C79DC" w:rsidRPr="002E641C">
        <w:rPr>
          <w:rFonts w:ascii="Calibri" w:hAnsi="Calibri" w:cs="Calibri"/>
        </w:rPr>
        <w:t xml:space="preserve"> –</w:t>
      </w:r>
      <w:r w:rsidR="00C32D0C" w:rsidRPr="002E641C">
        <w:rPr>
          <w:rFonts w:ascii="Calibri" w:hAnsi="Calibri" w:cs="Calibri"/>
        </w:rPr>
        <w:t xml:space="preserve"> kaip j</w:t>
      </w:r>
      <w:r w:rsidR="001C79DC" w:rsidRPr="002E641C">
        <w:rPr>
          <w:rFonts w:ascii="Calibri" w:hAnsi="Calibri" w:cs="Calibri"/>
        </w:rPr>
        <w:t>os</w:t>
      </w:r>
      <w:r w:rsidR="00C32D0C" w:rsidRPr="002E641C">
        <w:rPr>
          <w:rFonts w:ascii="Calibri" w:hAnsi="Calibri" w:cs="Calibri"/>
        </w:rPr>
        <w:t xml:space="preserve"> </w:t>
      </w:r>
      <w:r w:rsidR="0099517D" w:rsidRPr="002E641C">
        <w:rPr>
          <w:rFonts w:ascii="Calibri" w:hAnsi="Calibri" w:cs="Calibri"/>
        </w:rPr>
        <w:t>įgyvendina regreso teisę, t.</w:t>
      </w:r>
      <w:r w:rsidR="001C79DC" w:rsidRPr="00244C6F">
        <w:rPr>
          <w:rFonts w:ascii="Calibri" w:hAnsi="Calibri" w:cs="Calibri"/>
        </w:rPr>
        <w:t> </w:t>
      </w:r>
      <w:r w:rsidR="0099517D" w:rsidRPr="002E641C">
        <w:rPr>
          <w:rFonts w:ascii="Calibri" w:hAnsi="Calibri" w:cs="Calibri"/>
        </w:rPr>
        <w:t>y.</w:t>
      </w:r>
      <w:r w:rsidR="00C32D0C" w:rsidRPr="002E641C">
        <w:rPr>
          <w:rFonts w:ascii="Calibri" w:hAnsi="Calibri" w:cs="Calibri"/>
        </w:rPr>
        <w:t xml:space="preserve"> kaip </w:t>
      </w:r>
      <w:r w:rsidR="0099517D" w:rsidRPr="002E641C">
        <w:rPr>
          <w:rFonts w:ascii="Calibri" w:hAnsi="Calibri" w:cs="Calibri"/>
        </w:rPr>
        <w:t xml:space="preserve">išsamiai </w:t>
      </w:r>
      <w:r w:rsidR="00C32D0C" w:rsidRPr="002E641C">
        <w:rPr>
          <w:rFonts w:ascii="Calibri" w:hAnsi="Calibri" w:cs="Calibri"/>
        </w:rPr>
        <w:t>tikrina aplinkybes ir tiri</w:t>
      </w:r>
      <w:r w:rsidR="0099517D" w:rsidRPr="002E641C">
        <w:rPr>
          <w:rFonts w:ascii="Calibri" w:hAnsi="Calibri" w:cs="Calibri"/>
        </w:rPr>
        <w:t>a</w:t>
      </w:r>
      <w:r w:rsidR="00C32D0C" w:rsidRPr="002E641C">
        <w:rPr>
          <w:rFonts w:ascii="Calibri" w:hAnsi="Calibri" w:cs="Calibri"/>
        </w:rPr>
        <w:t xml:space="preserve"> konkrečias situacijas. </w:t>
      </w:r>
    </w:p>
    <w:p w14:paraId="360F37F6" w14:textId="77777777" w:rsidR="0060698F" w:rsidRPr="00244C6F" w:rsidRDefault="0060698F" w:rsidP="00D13FD4">
      <w:pPr>
        <w:tabs>
          <w:tab w:val="left" w:pos="8364"/>
        </w:tabs>
        <w:spacing w:after="0"/>
        <w:jc w:val="both"/>
        <w:rPr>
          <w:rFonts w:ascii="Calibri" w:hAnsi="Calibri" w:cs="Calibri"/>
          <w:color w:val="000000" w:themeColor="text1"/>
        </w:rPr>
      </w:pPr>
    </w:p>
    <w:p w14:paraId="7EB77BB3" w14:textId="7895FFB1" w:rsidR="00BC6344" w:rsidRPr="00244C6F" w:rsidRDefault="00BC6344" w:rsidP="002E2DEE">
      <w:pPr>
        <w:tabs>
          <w:tab w:val="left" w:pos="8364"/>
        </w:tabs>
        <w:spacing w:after="0"/>
        <w:jc w:val="both"/>
        <w:rPr>
          <w:rFonts w:ascii="Calibri" w:hAnsi="Calibri" w:cs="Calibri"/>
          <w:color w:val="000000" w:themeColor="text1"/>
        </w:rPr>
      </w:pPr>
      <w:r w:rsidRPr="00244C6F">
        <w:rPr>
          <w:rFonts w:ascii="Calibri" w:hAnsi="Calibri" w:cs="Calibri"/>
          <w:color w:val="000000" w:themeColor="text1"/>
        </w:rPr>
        <w:tab/>
      </w:r>
      <w:r w:rsidR="002E2DEE" w:rsidRPr="00244C6F">
        <w:rPr>
          <w:rFonts w:ascii="Calibri" w:hAnsi="Calibri" w:cs="Calibri"/>
          <w:color w:val="000000" w:themeColor="text1"/>
        </w:rPr>
        <w:t>4</w:t>
      </w:r>
      <w:r w:rsidRPr="00244C6F">
        <w:rPr>
          <w:rFonts w:ascii="Calibri" w:hAnsi="Calibri" w:cs="Calibri"/>
          <w:color w:val="000000" w:themeColor="text1"/>
        </w:rPr>
        <w:t xml:space="preserve"> </w:t>
      </w:r>
      <w:r w:rsidR="00942EBA" w:rsidRPr="00244C6F">
        <w:rPr>
          <w:rFonts w:ascii="Calibri" w:hAnsi="Calibri" w:cs="Calibri"/>
          <w:color w:val="000000" w:themeColor="text1"/>
        </w:rPr>
        <w:t>paveikslėlis</w:t>
      </w:r>
    </w:p>
    <w:p w14:paraId="332E7BCF" w14:textId="42426722" w:rsidR="000F115F" w:rsidRPr="00244C6F" w:rsidRDefault="00FA0255" w:rsidP="00510CE0">
      <w:pPr>
        <w:tabs>
          <w:tab w:val="left" w:pos="8364"/>
        </w:tabs>
        <w:spacing w:after="0"/>
        <w:jc w:val="both"/>
        <w:rPr>
          <w:rFonts w:ascii="Calibri" w:hAnsi="Calibri" w:cs="Calibri"/>
          <w:color w:val="000000" w:themeColor="text1"/>
        </w:rPr>
      </w:pPr>
      <w:r w:rsidRPr="00244C6F">
        <w:rPr>
          <w:rFonts w:ascii="Calibri" w:hAnsi="Calibri" w:cs="Calibri"/>
          <w:noProof/>
          <w:color w:val="000000" w:themeColor="text1"/>
        </w:rPr>
        <w:drawing>
          <wp:inline distT="0" distB="0" distL="0" distR="0" wp14:anchorId="403CD5B5" wp14:editId="10699388">
            <wp:extent cx="6083300" cy="2883877"/>
            <wp:effectExtent l="0" t="0" r="12700" b="12065"/>
            <wp:docPr id="1486274553"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4EE857" w14:textId="77777777" w:rsidR="000F115F" w:rsidRPr="00244C6F" w:rsidRDefault="000F115F" w:rsidP="00D13FD4">
      <w:pPr>
        <w:tabs>
          <w:tab w:val="left" w:pos="8364"/>
        </w:tabs>
        <w:spacing w:after="0"/>
        <w:jc w:val="both"/>
        <w:rPr>
          <w:rFonts w:ascii="Calibri" w:hAnsi="Calibri" w:cs="Calibri"/>
          <w:color w:val="000000" w:themeColor="text1"/>
        </w:rPr>
      </w:pPr>
    </w:p>
    <w:p w14:paraId="3393502D" w14:textId="02624BDF" w:rsidR="000F115F" w:rsidRPr="00244C6F" w:rsidRDefault="000F115F" w:rsidP="000F115F">
      <w:pPr>
        <w:tabs>
          <w:tab w:val="left" w:pos="8364"/>
        </w:tabs>
        <w:spacing w:after="0"/>
        <w:jc w:val="both"/>
        <w:rPr>
          <w:rFonts w:ascii="Calibri" w:hAnsi="Calibri" w:cs="Calibri"/>
          <w:color w:val="000000" w:themeColor="text1"/>
        </w:rPr>
      </w:pPr>
      <w:r w:rsidRPr="00244C6F">
        <w:rPr>
          <w:rFonts w:ascii="Calibri" w:hAnsi="Calibri" w:cs="Calibri"/>
          <w:color w:val="000000" w:themeColor="text1"/>
        </w:rPr>
        <w:t xml:space="preserve">                                                                                                                                                          </w:t>
      </w:r>
      <w:r w:rsidR="002E2DEE" w:rsidRPr="00296C9C">
        <w:rPr>
          <w:rFonts w:ascii="Calibri" w:hAnsi="Calibri" w:cs="Calibri"/>
          <w:color w:val="000000" w:themeColor="text1"/>
        </w:rPr>
        <w:t>5</w:t>
      </w:r>
      <w:r w:rsidRPr="00296C9C">
        <w:rPr>
          <w:rFonts w:ascii="Calibri" w:hAnsi="Calibri" w:cs="Calibri"/>
          <w:color w:val="000000" w:themeColor="text1"/>
        </w:rPr>
        <w:t xml:space="preserve"> paveikslėlis</w:t>
      </w:r>
    </w:p>
    <w:p w14:paraId="000F6157" w14:textId="344AA4F8" w:rsidR="001C3247" w:rsidRPr="00244C6F" w:rsidRDefault="00942EBA" w:rsidP="00F75061">
      <w:pPr>
        <w:spacing w:after="0"/>
        <w:rPr>
          <w:rFonts w:ascii="Calibri" w:hAnsi="Calibri" w:cs="Calibri"/>
          <w:i/>
          <w:iCs/>
          <w:color w:val="0070C0"/>
        </w:rPr>
      </w:pPr>
      <w:r w:rsidRPr="002E641C">
        <w:rPr>
          <w:rFonts w:ascii="Calibri" w:hAnsi="Calibri" w:cs="Calibri"/>
          <w:noProof/>
        </w:rPr>
        <w:drawing>
          <wp:inline distT="0" distB="0" distL="0" distR="0" wp14:anchorId="2EA78820" wp14:editId="5C958389">
            <wp:extent cx="6083300" cy="2451100"/>
            <wp:effectExtent l="0" t="0" r="12700" b="6350"/>
            <wp:docPr id="1349303504" name="Diagrama 1">
              <a:extLst xmlns:a="http://schemas.openxmlformats.org/drawingml/2006/main">
                <a:ext uri="{FF2B5EF4-FFF2-40B4-BE49-F238E27FC236}">
                  <a16:creationId xmlns:a16="http://schemas.microsoft.com/office/drawing/2014/main" id="{54A0F16E-CFC0-4805-AF1D-85ADD06CE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E8AA76" w14:textId="174117AA" w:rsidR="00DC3493" w:rsidRPr="00244C6F" w:rsidRDefault="001C3247" w:rsidP="00736D16">
      <w:pPr>
        <w:rPr>
          <w:rFonts w:ascii="Calibri" w:hAnsi="Calibri" w:cs="Calibri"/>
          <w:i/>
          <w:iCs/>
          <w:color w:val="0070C0"/>
        </w:rPr>
      </w:pPr>
      <w:r w:rsidRPr="00244C6F">
        <w:rPr>
          <w:rFonts w:ascii="Calibri" w:hAnsi="Calibri" w:cs="Calibri"/>
          <w:i/>
          <w:iCs/>
          <w:color w:val="0070C0"/>
        </w:rPr>
        <w:br w:type="page"/>
      </w:r>
      <w:r w:rsidR="000D0416" w:rsidRPr="00244C6F">
        <w:rPr>
          <w:rFonts w:ascii="Calibri" w:hAnsi="Calibri" w:cs="Calibri"/>
          <w:color w:val="0070C0"/>
          <w:sz w:val="48"/>
          <w:szCs w:val="48"/>
        </w:rPr>
        <w:lastRenderedPageBreak/>
        <w:t>Sprendim</w:t>
      </w:r>
      <w:r w:rsidR="00796E28" w:rsidRPr="00244C6F">
        <w:rPr>
          <w:rFonts w:ascii="Calibri" w:hAnsi="Calibri" w:cs="Calibri"/>
          <w:color w:val="0070C0"/>
          <w:sz w:val="48"/>
          <w:szCs w:val="48"/>
        </w:rPr>
        <w:t>ų</w:t>
      </w:r>
      <w:r w:rsidR="000D0416" w:rsidRPr="00244C6F">
        <w:rPr>
          <w:rFonts w:ascii="Calibri" w:hAnsi="Calibri" w:cs="Calibri"/>
          <w:color w:val="0070C0"/>
          <w:sz w:val="48"/>
          <w:szCs w:val="48"/>
        </w:rPr>
        <w:t>, kuriuose nustatyti valstybės neteisėti veiksmai</w:t>
      </w:r>
      <w:r w:rsidR="00F72465" w:rsidRPr="00244C6F">
        <w:rPr>
          <w:rFonts w:ascii="Calibri" w:hAnsi="Calibri" w:cs="Calibri"/>
          <w:color w:val="0070C0"/>
          <w:sz w:val="48"/>
          <w:szCs w:val="48"/>
        </w:rPr>
        <w:t>, apžvalga</w:t>
      </w:r>
    </w:p>
    <w:p w14:paraId="049BE8BC" w14:textId="77777777" w:rsidR="00A40130" w:rsidRPr="00244C6F" w:rsidRDefault="00A40130" w:rsidP="00A40130">
      <w:pPr>
        <w:spacing w:after="0" w:line="240" w:lineRule="auto"/>
        <w:rPr>
          <w:rFonts w:ascii="Calibri" w:hAnsi="Calibri" w:cs="Calibri"/>
          <w:i/>
          <w:iCs/>
          <w:color w:val="0070C0"/>
        </w:rPr>
      </w:pPr>
    </w:p>
    <w:p w14:paraId="51C2FA7A" w14:textId="542F6BE0" w:rsidR="00A00C0B" w:rsidRPr="00244C6F" w:rsidRDefault="00823538" w:rsidP="002E641C">
      <w:pPr>
        <w:spacing w:after="0"/>
        <w:ind w:firstLine="720"/>
        <w:jc w:val="both"/>
        <w:rPr>
          <w:rFonts w:ascii="Calibri" w:hAnsi="Calibri" w:cs="Calibri"/>
        </w:rPr>
      </w:pPr>
      <w:r w:rsidRPr="00244C6F">
        <w:rPr>
          <w:rFonts w:ascii="Calibri" w:hAnsi="Calibri" w:cs="Calibri"/>
        </w:rPr>
        <w:t>Atlikus</w:t>
      </w:r>
      <w:r w:rsidR="005C5357" w:rsidRPr="00244C6F">
        <w:rPr>
          <w:rFonts w:ascii="Calibri" w:hAnsi="Calibri" w:cs="Calibri"/>
        </w:rPr>
        <w:t xml:space="preserve"> 2024 metais </w:t>
      </w:r>
      <w:r w:rsidR="00AD6FF2" w:rsidRPr="00244C6F">
        <w:rPr>
          <w:rFonts w:ascii="Calibri" w:hAnsi="Calibri" w:cs="Calibri"/>
        </w:rPr>
        <w:t>į</w:t>
      </w:r>
      <w:r w:rsidR="0038586F" w:rsidRPr="00244C6F">
        <w:rPr>
          <w:rFonts w:ascii="Calibri" w:hAnsi="Calibri" w:cs="Calibri"/>
        </w:rPr>
        <w:t>vykdytų</w:t>
      </w:r>
      <w:r w:rsidRPr="00244C6F">
        <w:rPr>
          <w:rFonts w:ascii="Calibri" w:hAnsi="Calibri" w:cs="Calibri"/>
        </w:rPr>
        <w:t xml:space="preserve"> </w:t>
      </w:r>
      <w:r w:rsidR="00AD6FF2" w:rsidRPr="00244C6F">
        <w:rPr>
          <w:rFonts w:ascii="Calibri" w:hAnsi="Calibri" w:cs="Calibri"/>
        </w:rPr>
        <w:t xml:space="preserve">teismų </w:t>
      </w:r>
      <w:r w:rsidRPr="00244C6F">
        <w:rPr>
          <w:rFonts w:ascii="Calibri" w:hAnsi="Calibri" w:cs="Calibri"/>
        </w:rPr>
        <w:t>sprendimų, kuriuose nustatyti val</w:t>
      </w:r>
      <w:r w:rsidR="00A739EA" w:rsidRPr="00244C6F">
        <w:rPr>
          <w:rFonts w:ascii="Calibri" w:hAnsi="Calibri" w:cs="Calibri"/>
        </w:rPr>
        <w:t>džios institucijų ar jų darbuotojų</w:t>
      </w:r>
      <w:r w:rsidRPr="00244C6F">
        <w:rPr>
          <w:rFonts w:ascii="Calibri" w:hAnsi="Calibri" w:cs="Calibri"/>
        </w:rPr>
        <w:t xml:space="preserve"> neteisėti veiksmai, </w:t>
      </w:r>
      <w:r w:rsidR="006E30B4" w:rsidRPr="00244C6F">
        <w:rPr>
          <w:rFonts w:ascii="Calibri" w:hAnsi="Calibri" w:cs="Calibri"/>
        </w:rPr>
        <w:t>analizę, galim</w:t>
      </w:r>
      <w:r w:rsidR="00951823" w:rsidRPr="00244C6F">
        <w:rPr>
          <w:rFonts w:ascii="Calibri" w:hAnsi="Calibri" w:cs="Calibri"/>
        </w:rPr>
        <w:t>a</w:t>
      </w:r>
      <w:r w:rsidR="006E30B4" w:rsidRPr="00244C6F">
        <w:rPr>
          <w:rFonts w:ascii="Calibri" w:hAnsi="Calibri" w:cs="Calibri"/>
        </w:rPr>
        <w:t xml:space="preserve"> matyti</w:t>
      </w:r>
      <w:r w:rsidR="002A6638" w:rsidRPr="00244C6F">
        <w:rPr>
          <w:rFonts w:ascii="Calibri" w:hAnsi="Calibri" w:cs="Calibri"/>
        </w:rPr>
        <w:t xml:space="preserve"> tiek</w:t>
      </w:r>
      <w:r w:rsidR="006E30B4" w:rsidRPr="00244C6F">
        <w:rPr>
          <w:rFonts w:ascii="Calibri" w:hAnsi="Calibri" w:cs="Calibri"/>
        </w:rPr>
        <w:t xml:space="preserve"> veiksni</w:t>
      </w:r>
      <w:r w:rsidR="00870F31" w:rsidRPr="00244C6F">
        <w:rPr>
          <w:rFonts w:ascii="Calibri" w:hAnsi="Calibri" w:cs="Calibri"/>
        </w:rPr>
        <w:t>us</w:t>
      </w:r>
      <w:r w:rsidR="006E30B4" w:rsidRPr="00244C6F">
        <w:rPr>
          <w:rFonts w:ascii="Calibri" w:hAnsi="Calibri" w:cs="Calibri"/>
        </w:rPr>
        <w:t>, lėmusi</w:t>
      </w:r>
      <w:r w:rsidR="00870F31" w:rsidRPr="00244C6F">
        <w:rPr>
          <w:rFonts w:ascii="Calibri" w:hAnsi="Calibri" w:cs="Calibri"/>
        </w:rPr>
        <w:t>us</w:t>
      </w:r>
      <w:r w:rsidR="006E30B4" w:rsidRPr="00244C6F">
        <w:rPr>
          <w:rFonts w:ascii="Calibri" w:hAnsi="Calibri" w:cs="Calibri"/>
        </w:rPr>
        <w:t xml:space="preserve"> tokius sprendimus</w:t>
      </w:r>
      <w:r w:rsidR="008A6418" w:rsidRPr="00244C6F">
        <w:rPr>
          <w:rFonts w:ascii="Calibri" w:hAnsi="Calibri" w:cs="Calibri"/>
        </w:rPr>
        <w:t xml:space="preserve"> (plačiau žr.</w:t>
      </w:r>
      <w:r w:rsidR="00E85C59" w:rsidRPr="00244C6F">
        <w:rPr>
          <w:rFonts w:ascii="Calibri" w:hAnsi="Calibri" w:cs="Calibri"/>
        </w:rPr>
        <w:t xml:space="preserve"> 1 </w:t>
      </w:r>
      <w:r w:rsidR="008A6418" w:rsidRPr="00244C6F">
        <w:rPr>
          <w:rFonts w:ascii="Calibri" w:hAnsi="Calibri" w:cs="Calibri"/>
        </w:rPr>
        <w:t>lentel</w:t>
      </w:r>
      <w:r w:rsidR="00951823" w:rsidRPr="00244C6F">
        <w:rPr>
          <w:rFonts w:ascii="Calibri" w:hAnsi="Calibri" w:cs="Calibri"/>
        </w:rPr>
        <w:t>ę</w:t>
      </w:r>
      <w:r w:rsidR="00250AA5" w:rsidRPr="00244C6F">
        <w:rPr>
          <w:rFonts w:ascii="Calibri" w:hAnsi="Calibri" w:cs="Calibri"/>
        </w:rPr>
        <w:t xml:space="preserve"> bei </w:t>
      </w:r>
      <w:r w:rsidR="003F5EAD" w:rsidRPr="00244C6F">
        <w:rPr>
          <w:rFonts w:ascii="Calibri" w:hAnsi="Calibri" w:cs="Calibri"/>
        </w:rPr>
        <w:t>6</w:t>
      </w:r>
      <w:r w:rsidR="00E85C59" w:rsidRPr="00244C6F">
        <w:rPr>
          <w:rFonts w:ascii="Calibri" w:hAnsi="Calibri" w:cs="Calibri"/>
        </w:rPr>
        <w:t xml:space="preserve"> pav</w:t>
      </w:r>
      <w:r w:rsidR="00C257A7" w:rsidRPr="00244C6F">
        <w:rPr>
          <w:rFonts w:ascii="Calibri" w:hAnsi="Calibri" w:cs="Calibri"/>
        </w:rPr>
        <w:t xml:space="preserve">. </w:t>
      </w:r>
      <w:r w:rsidR="00250AA5" w:rsidRPr="00244C6F">
        <w:rPr>
          <w:rFonts w:ascii="Calibri" w:hAnsi="Calibri" w:cs="Calibri"/>
        </w:rPr>
        <w:t>žemiau</w:t>
      </w:r>
      <w:r w:rsidR="002A6638" w:rsidRPr="00244C6F">
        <w:rPr>
          <w:rFonts w:ascii="Calibri" w:hAnsi="Calibri" w:cs="Calibri"/>
        </w:rPr>
        <w:t xml:space="preserve">), tiek ir </w:t>
      </w:r>
      <w:r w:rsidR="00D16617" w:rsidRPr="00244C6F">
        <w:rPr>
          <w:rFonts w:ascii="Calibri" w:hAnsi="Calibri" w:cs="Calibri"/>
        </w:rPr>
        <w:t>institucij</w:t>
      </w:r>
      <w:r w:rsidR="00951823" w:rsidRPr="00244C6F">
        <w:rPr>
          <w:rFonts w:ascii="Calibri" w:hAnsi="Calibri" w:cs="Calibri"/>
        </w:rPr>
        <w:t>as, kurių</w:t>
      </w:r>
      <w:r w:rsidR="00D16617" w:rsidRPr="00244C6F">
        <w:rPr>
          <w:rFonts w:ascii="Calibri" w:hAnsi="Calibri" w:cs="Calibri"/>
        </w:rPr>
        <w:t xml:space="preserve"> veiksmai teismų buvo </w:t>
      </w:r>
      <w:r w:rsidR="00951823" w:rsidRPr="00244C6F">
        <w:rPr>
          <w:rFonts w:ascii="Calibri" w:hAnsi="Calibri" w:cs="Calibri"/>
        </w:rPr>
        <w:t xml:space="preserve">dažniau pripažinti </w:t>
      </w:r>
      <w:r w:rsidR="00D16617" w:rsidRPr="00244C6F">
        <w:rPr>
          <w:rFonts w:ascii="Calibri" w:hAnsi="Calibri" w:cs="Calibri"/>
        </w:rPr>
        <w:t>kaip neteisėti</w:t>
      </w:r>
      <w:r w:rsidR="00C52B10" w:rsidRPr="00244C6F">
        <w:rPr>
          <w:rFonts w:ascii="Calibri" w:hAnsi="Calibri" w:cs="Calibri"/>
        </w:rPr>
        <w:t xml:space="preserve"> </w:t>
      </w:r>
      <w:r w:rsidR="00D16617" w:rsidRPr="00244C6F">
        <w:rPr>
          <w:rFonts w:ascii="Calibri" w:hAnsi="Calibri" w:cs="Calibri"/>
        </w:rPr>
        <w:t>(ž</w:t>
      </w:r>
      <w:r w:rsidR="00D65619" w:rsidRPr="00244C6F">
        <w:rPr>
          <w:rFonts w:ascii="Calibri" w:hAnsi="Calibri" w:cs="Calibri"/>
        </w:rPr>
        <w:t xml:space="preserve">r. </w:t>
      </w:r>
      <w:r w:rsidR="003F5EAD" w:rsidRPr="00244C6F">
        <w:rPr>
          <w:rFonts w:ascii="Calibri" w:hAnsi="Calibri" w:cs="Calibri"/>
        </w:rPr>
        <w:t>7</w:t>
      </w:r>
      <w:r w:rsidR="00E85C59" w:rsidRPr="00244C6F">
        <w:rPr>
          <w:rFonts w:ascii="Calibri" w:hAnsi="Calibri" w:cs="Calibri"/>
        </w:rPr>
        <w:t xml:space="preserve"> pav</w:t>
      </w:r>
      <w:r w:rsidR="00C257A7" w:rsidRPr="00244C6F">
        <w:rPr>
          <w:rFonts w:ascii="Calibri" w:hAnsi="Calibri" w:cs="Calibri"/>
        </w:rPr>
        <w:t>.</w:t>
      </w:r>
      <w:r w:rsidR="00A00C0B" w:rsidRPr="00244C6F">
        <w:rPr>
          <w:rFonts w:ascii="Calibri" w:hAnsi="Calibri" w:cs="Calibri"/>
        </w:rPr>
        <w:t xml:space="preserve"> žemiau</w:t>
      </w:r>
      <w:r w:rsidR="008A6418" w:rsidRPr="00244C6F">
        <w:rPr>
          <w:rFonts w:ascii="Calibri" w:hAnsi="Calibri" w:cs="Calibri"/>
        </w:rPr>
        <w:t>)</w:t>
      </w:r>
      <w:r w:rsidR="006E30B4" w:rsidRPr="00244C6F">
        <w:rPr>
          <w:rFonts w:ascii="Calibri" w:hAnsi="Calibri" w:cs="Calibri"/>
        </w:rPr>
        <w:t xml:space="preserve">. </w:t>
      </w:r>
    </w:p>
    <w:p w14:paraId="08478207" w14:textId="73AFD56F" w:rsidR="004961B0" w:rsidRPr="00244C6F" w:rsidRDefault="006B7F20" w:rsidP="002E641C">
      <w:pPr>
        <w:tabs>
          <w:tab w:val="left" w:pos="8931"/>
        </w:tabs>
        <w:spacing w:after="0"/>
        <w:ind w:firstLine="720"/>
        <w:jc w:val="both"/>
        <w:rPr>
          <w:rFonts w:ascii="Calibri" w:hAnsi="Calibri" w:cs="Calibri"/>
        </w:rPr>
      </w:pPr>
      <w:r w:rsidRPr="00244C6F">
        <w:rPr>
          <w:rFonts w:ascii="Calibri" w:hAnsi="Calibri" w:cs="Calibri"/>
        </w:rPr>
        <w:t>Apibendri</w:t>
      </w:r>
      <w:r w:rsidR="004815FA" w:rsidRPr="00244C6F">
        <w:rPr>
          <w:rFonts w:ascii="Calibri" w:hAnsi="Calibri" w:cs="Calibri"/>
        </w:rPr>
        <w:t xml:space="preserve">nus analizuotus sprendimus, matyti, kad </w:t>
      </w:r>
      <w:r w:rsidR="00287B27" w:rsidRPr="00244C6F">
        <w:rPr>
          <w:rFonts w:ascii="Calibri" w:hAnsi="Calibri" w:cs="Calibri"/>
        </w:rPr>
        <w:t>daugumoje jų (</w:t>
      </w:r>
      <w:r w:rsidR="00C963D8" w:rsidRPr="00244C6F">
        <w:rPr>
          <w:rFonts w:ascii="Calibri" w:hAnsi="Calibri" w:cs="Calibri"/>
        </w:rPr>
        <w:t>1</w:t>
      </w:r>
      <w:r w:rsidR="000034FC">
        <w:rPr>
          <w:rFonts w:ascii="Calibri" w:hAnsi="Calibri" w:cs="Calibri"/>
        </w:rPr>
        <w:t>6</w:t>
      </w:r>
      <w:r w:rsidR="00707C07" w:rsidRPr="00244C6F">
        <w:rPr>
          <w:rFonts w:ascii="Calibri" w:hAnsi="Calibri" w:cs="Calibri"/>
        </w:rPr>
        <w:t xml:space="preserve"> atvejų</w:t>
      </w:r>
      <w:r w:rsidR="00287B27" w:rsidRPr="00244C6F">
        <w:rPr>
          <w:rFonts w:ascii="Calibri" w:hAnsi="Calibri" w:cs="Calibri"/>
        </w:rPr>
        <w:t xml:space="preserve">) </w:t>
      </w:r>
      <w:r w:rsidR="0031003A" w:rsidRPr="00244C6F">
        <w:rPr>
          <w:rFonts w:ascii="Calibri" w:hAnsi="Calibri" w:cs="Calibri"/>
        </w:rPr>
        <w:t>konstatuota</w:t>
      </w:r>
      <w:r w:rsidR="00287B27" w:rsidRPr="00244C6F">
        <w:rPr>
          <w:rFonts w:ascii="Calibri" w:hAnsi="Calibri" w:cs="Calibri"/>
        </w:rPr>
        <w:t xml:space="preserve"> </w:t>
      </w:r>
      <w:r w:rsidR="00EE0AC1" w:rsidRPr="00244C6F">
        <w:rPr>
          <w:rFonts w:ascii="Calibri" w:hAnsi="Calibri" w:cs="Calibri"/>
        </w:rPr>
        <w:t xml:space="preserve">netinkama </w:t>
      </w:r>
      <w:r w:rsidR="00287B27" w:rsidRPr="00244C6F">
        <w:rPr>
          <w:rFonts w:ascii="Calibri" w:hAnsi="Calibri" w:cs="Calibri"/>
        </w:rPr>
        <w:t xml:space="preserve">įstatymų </w:t>
      </w:r>
      <w:r w:rsidR="00C349FC" w:rsidRPr="00244C6F">
        <w:rPr>
          <w:rFonts w:ascii="Calibri" w:hAnsi="Calibri" w:cs="Calibri"/>
        </w:rPr>
        <w:t>taik</w:t>
      </w:r>
      <w:r w:rsidR="00287B27" w:rsidRPr="00244C6F">
        <w:rPr>
          <w:rFonts w:ascii="Calibri" w:hAnsi="Calibri" w:cs="Calibri"/>
        </w:rPr>
        <w:t>ymo praktika.</w:t>
      </w:r>
      <w:r w:rsidR="00C349FC" w:rsidRPr="00244C6F">
        <w:rPr>
          <w:rFonts w:ascii="Calibri" w:hAnsi="Calibri" w:cs="Calibri"/>
        </w:rPr>
        <w:t xml:space="preserve"> </w:t>
      </w:r>
      <w:r w:rsidR="002100BF" w:rsidRPr="002B62BB">
        <w:rPr>
          <w:rFonts w:ascii="Calibri" w:hAnsi="Calibri" w:cs="Calibri"/>
        </w:rPr>
        <w:t>Dažniausiai n</w:t>
      </w:r>
      <w:r w:rsidR="003E1146" w:rsidRPr="002B62BB">
        <w:rPr>
          <w:rFonts w:ascii="Calibri" w:hAnsi="Calibri" w:cs="Calibri"/>
        </w:rPr>
        <w:t>etinkama</w:t>
      </w:r>
      <w:r w:rsidR="002B62BB" w:rsidRPr="002B62BB">
        <w:rPr>
          <w:rFonts w:ascii="Calibri" w:hAnsi="Calibri" w:cs="Calibri"/>
        </w:rPr>
        <w:t>i</w:t>
      </w:r>
      <w:r w:rsidR="003E1146" w:rsidRPr="002B62BB">
        <w:rPr>
          <w:rFonts w:ascii="Calibri" w:hAnsi="Calibri" w:cs="Calibri"/>
        </w:rPr>
        <w:t xml:space="preserve"> </w:t>
      </w:r>
      <w:r w:rsidR="002B62BB" w:rsidRPr="002B62BB">
        <w:rPr>
          <w:rFonts w:ascii="Calibri" w:hAnsi="Calibri" w:cs="Calibri"/>
        </w:rPr>
        <w:t xml:space="preserve">pritaikytas </w:t>
      </w:r>
      <w:r w:rsidR="003E1146" w:rsidRPr="002B62BB">
        <w:rPr>
          <w:rFonts w:ascii="Calibri" w:hAnsi="Calibri" w:cs="Calibri"/>
        </w:rPr>
        <w:t xml:space="preserve">įstatymas buvo </w:t>
      </w:r>
      <w:r w:rsidR="002100BF" w:rsidRPr="00244C6F">
        <w:rPr>
          <w:rFonts w:ascii="Calibri" w:hAnsi="Calibri" w:cs="Calibri"/>
        </w:rPr>
        <w:t>baudžiamosiose bylose</w:t>
      </w:r>
      <w:r w:rsidR="00C963D8" w:rsidRPr="00244C6F">
        <w:rPr>
          <w:rFonts w:ascii="Calibri" w:hAnsi="Calibri" w:cs="Calibri"/>
        </w:rPr>
        <w:t xml:space="preserve"> </w:t>
      </w:r>
      <w:r w:rsidR="000034FC">
        <w:rPr>
          <w:rFonts w:ascii="Calibri" w:hAnsi="Calibri" w:cs="Calibri"/>
        </w:rPr>
        <w:t>(9 atvejai)</w:t>
      </w:r>
      <w:r w:rsidR="004A41CC">
        <w:rPr>
          <w:rFonts w:ascii="Calibri" w:hAnsi="Calibri" w:cs="Calibri"/>
        </w:rPr>
        <w:t xml:space="preserve"> </w:t>
      </w:r>
      <w:r w:rsidR="00F7061E" w:rsidRPr="00244C6F">
        <w:rPr>
          <w:rFonts w:ascii="Calibri" w:hAnsi="Calibri" w:cs="Calibri"/>
        </w:rPr>
        <w:t xml:space="preserve">– </w:t>
      </w:r>
      <w:r w:rsidR="00C963D8" w:rsidRPr="00244C6F">
        <w:rPr>
          <w:rFonts w:ascii="Calibri" w:hAnsi="Calibri" w:cs="Calibri"/>
        </w:rPr>
        <w:t>dėl</w:t>
      </w:r>
      <w:r w:rsidR="006C79DB" w:rsidRPr="00244C6F">
        <w:rPr>
          <w:rFonts w:ascii="Calibri" w:hAnsi="Calibri" w:cs="Calibri"/>
        </w:rPr>
        <w:t xml:space="preserve"> netinkamai taikomų kardomųjų priemonių, </w:t>
      </w:r>
      <w:r w:rsidR="00A15AD2" w:rsidRPr="00244C6F">
        <w:rPr>
          <w:rFonts w:ascii="Calibri" w:hAnsi="Calibri" w:cs="Calibri"/>
        </w:rPr>
        <w:t xml:space="preserve">laikino sulaikymo, </w:t>
      </w:r>
      <w:r w:rsidR="006614FD" w:rsidRPr="00244C6F">
        <w:rPr>
          <w:rFonts w:ascii="Calibri" w:hAnsi="Calibri" w:cs="Calibri"/>
        </w:rPr>
        <w:t xml:space="preserve">vertimo duoti parodymus prieš save, netinkamai </w:t>
      </w:r>
      <w:r w:rsidR="00FD2DD8" w:rsidRPr="00244C6F">
        <w:rPr>
          <w:rFonts w:ascii="Calibri" w:hAnsi="Calibri" w:cs="Calibri"/>
        </w:rPr>
        <w:t>nustatytų nusikalstamos veikos požymių</w:t>
      </w:r>
      <w:r w:rsidR="00C6199B" w:rsidRPr="00244C6F">
        <w:rPr>
          <w:rFonts w:ascii="Calibri" w:hAnsi="Calibri" w:cs="Calibri"/>
        </w:rPr>
        <w:t xml:space="preserve"> dar ikiteisminio tyrimo stadijoje, o vėliau </w:t>
      </w:r>
      <w:r w:rsidR="00F7061E" w:rsidRPr="00244C6F">
        <w:rPr>
          <w:rFonts w:ascii="Calibri" w:hAnsi="Calibri" w:cs="Calibri"/>
        </w:rPr>
        <w:t xml:space="preserve">– </w:t>
      </w:r>
      <w:r w:rsidR="00C6199B" w:rsidRPr="00244C6F">
        <w:rPr>
          <w:rFonts w:ascii="Calibri" w:hAnsi="Calibri" w:cs="Calibri"/>
        </w:rPr>
        <w:t>ir pirmosios instancijos teisme,</w:t>
      </w:r>
      <w:r w:rsidR="00FD2DD8" w:rsidRPr="00244C6F">
        <w:rPr>
          <w:rFonts w:ascii="Calibri" w:hAnsi="Calibri" w:cs="Calibri"/>
        </w:rPr>
        <w:t xml:space="preserve"> </w:t>
      </w:r>
      <w:r w:rsidR="00F7061E" w:rsidRPr="00244C6F">
        <w:rPr>
          <w:rFonts w:ascii="Calibri" w:hAnsi="Calibri" w:cs="Calibri"/>
        </w:rPr>
        <w:t xml:space="preserve">taip pat </w:t>
      </w:r>
      <w:r w:rsidR="00A104E5" w:rsidRPr="00244C6F">
        <w:rPr>
          <w:rFonts w:ascii="Calibri" w:hAnsi="Calibri" w:cs="Calibri"/>
        </w:rPr>
        <w:t xml:space="preserve">dėl netinkamai kvalifikuotų </w:t>
      </w:r>
      <w:r w:rsidR="00560ED8" w:rsidRPr="00244C6F">
        <w:rPr>
          <w:rFonts w:ascii="Calibri" w:hAnsi="Calibri" w:cs="Calibri"/>
        </w:rPr>
        <w:t xml:space="preserve">teisinių santykių. </w:t>
      </w:r>
      <w:r w:rsidR="00AC63B8" w:rsidRPr="00244C6F">
        <w:rPr>
          <w:rFonts w:ascii="Calibri" w:hAnsi="Calibri" w:cs="Calibri"/>
        </w:rPr>
        <w:t>Kai kuriais atvejais</w:t>
      </w:r>
      <w:r w:rsidR="006D18DD" w:rsidRPr="00244C6F">
        <w:rPr>
          <w:rFonts w:ascii="Calibri" w:hAnsi="Calibri" w:cs="Calibri"/>
        </w:rPr>
        <w:t xml:space="preserve"> neteisėti veiksmai baudžiamosiose bylose </w:t>
      </w:r>
      <w:r w:rsidR="00F7061E" w:rsidRPr="00244C6F">
        <w:rPr>
          <w:rFonts w:ascii="Calibri" w:hAnsi="Calibri" w:cs="Calibri"/>
        </w:rPr>
        <w:t xml:space="preserve">nustatyti </w:t>
      </w:r>
      <w:r w:rsidR="006D18DD" w:rsidRPr="00244C6F">
        <w:rPr>
          <w:rFonts w:ascii="Calibri" w:hAnsi="Calibri" w:cs="Calibri"/>
        </w:rPr>
        <w:t xml:space="preserve">vien dėl to, kad </w:t>
      </w:r>
      <w:r w:rsidR="00F7061E" w:rsidRPr="00244C6F">
        <w:rPr>
          <w:rFonts w:ascii="Calibri" w:hAnsi="Calibri" w:cs="Calibri"/>
        </w:rPr>
        <w:t xml:space="preserve">konkrečios aplinkybės buvo tirtos </w:t>
      </w:r>
      <w:r w:rsidR="006D18DD" w:rsidRPr="00244C6F">
        <w:rPr>
          <w:rFonts w:ascii="Calibri" w:hAnsi="Calibri" w:cs="Calibri"/>
        </w:rPr>
        <w:t>nepakankamai išsamiai, nevertin</w:t>
      </w:r>
      <w:r w:rsidR="00F7061E" w:rsidRPr="00244C6F">
        <w:rPr>
          <w:rFonts w:ascii="Calibri" w:hAnsi="Calibri" w:cs="Calibri"/>
        </w:rPr>
        <w:t>t</w:t>
      </w:r>
      <w:r w:rsidR="006D18DD" w:rsidRPr="00244C6F">
        <w:rPr>
          <w:rFonts w:ascii="Calibri" w:hAnsi="Calibri" w:cs="Calibri"/>
        </w:rPr>
        <w:t>os individualios situacijos, o apsiribo</w:t>
      </w:r>
      <w:r w:rsidR="00F7061E" w:rsidRPr="00244C6F">
        <w:rPr>
          <w:rFonts w:ascii="Calibri" w:hAnsi="Calibri" w:cs="Calibri"/>
        </w:rPr>
        <w:t>ta</w:t>
      </w:r>
      <w:r w:rsidR="006D18DD" w:rsidRPr="00244C6F">
        <w:rPr>
          <w:rFonts w:ascii="Calibri" w:hAnsi="Calibri" w:cs="Calibri"/>
        </w:rPr>
        <w:t xml:space="preserve"> šabloninėmis frazėmis, kurios nepagrindžia tam tikrų priemonių, p</w:t>
      </w:r>
      <w:r w:rsidR="007E60D2" w:rsidRPr="00244C6F">
        <w:rPr>
          <w:rFonts w:ascii="Calibri" w:hAnsi="Calibri" w:cs="Calibri"/>
        </w:rPr>
        <w:t>a</w:t>
      </w:r>
      <w:r w:rsidR="006D18DD" w:rsidRPr="00244C6F">
        <w:rPr>
          <w:rFonts w:ascii="Calibri" w:hAnsi="Calibri" w:cs="Calibri"/>
        </w:rPr>
        <w:t>v</w:t>
      </w:r>
      <w:r w:rsidR="007E60D2" w:rsidRPr="00244C6F">
        <w:rPr>
          <w:rFonts w:ascii="Calibri" w:hAnsi="Calibri" w:cs="Calibri"/>
        </w:rPr>
        <w:t>y</w:t>
      </w:r>
      <w:r w:rsidR="006D18DD" w:rsidRPr="00244C6F">
        <w:rPr>
          <w:rFonts w:ascii="Calibri" w:hAnsi="Calibri" w:cs="Calibri"/>
        </w:rPr>
        <w:t>z</w:t>
      </w:r>
      <w:r w:rsidR="007E60D2" w:rsidRPr="00244C6F">
        <w:rPr>
          <w:rFonts w:ascii="Calibri" w:hAnsi="Calibri" w:cs="Calibri"/>
        </w:rPr>
        <w:t>džiui</w:t>
      </w:r>
      <w:r w:rsidR="006D18DD" w:rsidRPr="00244C6F">
        <w:rPr>
          <w:rFonts w:ascii="Calibri" w:hAnsi="Calibri" w:cs="Calibri"/>
        </w:rPr>
        <w:t>, kardomosios priemonės skyrimo, procesinės prievartos priemonės</w:t>
      </w:r>
      <w:r w:rsidR="00B510FB" w:rsidRPr="00244C6F">
        <w:rPr>
          <w:rFonts w:ascii="Calibri" w:hAnsi="Calibri" w:cs="Calibri"/>
        </w:rPr>
        <w:t xml:space="preserve"> skyrimo</w:t>
      </w:r>
      <w:r w:rsidR="006D18DD" w:rsidRPr="00244C6F">
        <w:rPr>
          <w:rFonts w:ascii="Calibri" w:hAnsi="Calibri" w:cs="Calibri"/>
        </w:rPr>
        <w:t xml:space="preserve"> ar net kriminalinės žvalgybos veiksmų, poreik</w:t>
      </w:r>
      <w:r w:rsidR="0038586F" w:rsidRPr="00244C6F">
        <w:rPr>
          <w:rFonts w:ascii="Calibri" w:hAnsi="Calibri" w:cs="Calibri"/>
        </w:rPr>
        <w:t>io</w:t>
      </w:r>
      <w:r w:rsidR="006D18DD" w:rsidRPr="00244C6F">
        <w:rPr>
          <w:rFonts w:ascii="Calibri" w:hAnsi="Calibri" w:cs="Calibri"/>
        </w:rPr>
        <w:t xml:space="preserve"> ir proporcingum</w:t>
      </w:r>
      <w:r w:rsidR="0038586F" w:rsidRPr="00244C6F">
        <w:rPr>
          <w:rFonts w:ascii="Calibri" w:hAnsi="Calibri" w:cs="Calibri"/>
        </w:rPr>
        <w:t>o</w:t>
      </w:r>
      <w:r w:rsidR="006D18DD" w:rsidRPr="00244C6F">
        <w:rPr>
          <w:rFonts w:ascii="Calibri" w:hAnsi="Calibri" w:cs="Calibri"/>
        </w:rPr>
        <w:t>. Keliuose sprendimuose baudžiamosiose bylose konstatuot</w:t>
      </w:r>
      <w:r w:rsidR="007E60D2" w:rsidRPr="00244C6F">
        <w:rPr>
          <w:rFonts w:ascii="Calibri" w:hAnsi="Calibri" w:cs="Calibri"/>
        </w:rPr>
        <w:t>a, kad</w:t>
      </w:r>
      <w:r w:rsidR="006D18DD" w:rsidRPr="00244C6F">
        <w:rPr>
          <w:rFonts w:ascii="Calibri" w:hAnsi="Calibri" w:cs="Calibri"/>
        </w:rPr>
        <w:t xml:space="preserve"> valstybės institucij</w:t>
      </w:r>
      <w:r w:rsidR="007E60D2" w:rsidRPr="00244C6F">
        <w:rPr>
          <w:rFonts w:ascii="Calibri" w:hAnsi="Calibri" w:cs="Calibri"/>
        </w:rPr>
        <w:t>os atliko</w:t>
      </w:r>
      <w:r w:rsidR="006D18DD" w:rsidRPr="00244C6F">
        <w:rPr>
          <w:rFonts w:ascii="Calibri" w:hAnsi="Calibri" w:cs="Calibri"/>
        </w:rPr>
        <w:t xml:space="preserve"> neteisėt</w:t>
      </w:r>
      <w:r w:rsidR="007E60D2" w:rsidRPr="00244C6F">
        <w:rPr>
          <w:rFonts w:ascii="Calibri" w:hAnsi="Calibri" w:cs="Calibri"/>
        </w:rPr>
        <w:t>us</w:t>
      </w:r>
      <w:r w:rsidR="006D18DD" w:rsidRPr="00244C6F">
        <w:rPr>
          <w:rFonts w:ascii="Calibri" w:hAnsi="Calibri" w:cs="Calibri"/>
        </w:rPr>
        <w:t xml:space="preserve"> veiksm</w:t>
      </w:r>
      <w:r w:rsidR="007E60D2" w:rsidRPr="00244C6F">
        <w:rPr>
          <w:rFonts w:ascii="Calibri" w:hAnsi="Calibri" w:cs="Calibri"/>
        </w:rPr>
        <w:t>us,</w:t>
      </w:r>
      <w:r w:rsidR="006D18DD" w:rsidRPr="00244C6F">
        <w:rPr>
          <w:rFonts w:ascii="Calibri" w:hAnsi="Calibri" w:cs="Calibri"/>
        </w:rPr>
        <w:t xml:space="preserve"> </w:t>
      </w:r>
      <w:r w:rsidR="007E60D2" w:rsidRPr="00244C6F">
        <w:rPr>
          <w:rFonts w:ascii="Calibri" w:hAnsi="Calibri" w:cs="Calibri"/>
        </w:rPr>
        <w:t>nes ne</w:t>
      </w:r>
      <w:r w:rsidR="006D18DD" w:rsidRPr="00244C6F">
        <w:rPr>
          <w:rFonts w:ascii="Calibri" w:hAnsi="Calibri" w:cs="Calibri"/>
        </w:rPr>
        <w:t>užtikrin</w:t>
      </w:r>
      <w:r w:rsidR="007E60D2" w:rsidRPr="00244C6F">
        <w:rPr>
          <w:rFonts w:ascii="Calibri" w:hAnsi="Calibri" w:cs="Calibri"/>
        </w:rPr>
        <w:t>o</w:t>
      </w:r>
      <w:r w:rsidR="006D18DD" w:rsidRPr="00244C6F">
        <w:rPr>
          <w:rFonts w:ascii="Calibri" w:hAnsi="Calibri" w:cs="Calibri"/>
        </w:rPr>
        <w:t xml:space="preserve">, </w:t>
      </w:r>
      <w:r w:rsidR="007E60D2" w:rsidRPr="00244C6F">
        <w:rPr>
          <w:rFonts w:ascii="Calibri" w:hAnsi="Calibri" w:cs="Calibri"/>
        </w:rPr>
        <w:t xml:space="preserve">kad </w:t>
      </w:r>
      <w:r w:rsidR="006D18DD" w:rsidRPr="00244C6F">
        <w:rPr>
          <w:rFonts w:ascii="Calibri" w:hAnsi="Calibri" w:cs="Calibri"/>
        </w:rPr>
        <w:t xml:space="preserve">pareigas eitų </w:t>
      </w:r>
      <w:r w:rsidR="007E60D2" w:rsidRPr="00244C6F">
        <w:rPr>
          <w:rFonts w:ascii="Calibri" w:hAnsi="Calibri" w:cs="Calibri"/>
        </w:rPr>
        <w:t>tinkam</w:t>
      </w:r>
      <w:r w:rsidR="00E659E1" w:rsidRPr="00244C6F">
        <w:rPr>
          <w:rFonts w:ascii="Calibri" w:hAnsi="Calibri" w:cs="Calibri"/>
        </w:rPr>
        <w:t>omis</w:t>
      </w:r>
      <w:r w:rsidR="007E60D2" w:rsidRPr="00244C6F">
        <w:rPr>
          <w:rFonts w:ascii="Calibri" w:hAnsi="Calibri" w:cs="Calibri"/>
        </w:rPr>
        <w:t xml:space="preserve"> asmenin</w:t>
      </w:r>
      <w:r w:rsidR="00E659E1" w:rsidRPr="00244C6F">
        <w:rPr>
          <w:rFonts w:ascii="Calibri" w:hAnsi="Calibri" w:cs="Calibri"/>
        </w:rPr>
        <w:t>ėmis</w:t>
      </w:r>
      <w:r w:rsidR="007E60D2" w:rsidRPr="00244C6F">
        <w:rPr>
          <w:rFonts w:ascii="Calibri" w:hAnsi="Calibri" w:cs="Calibri"/>
        </w:rPr>
        <w:t xml:space="preserve"> savyb</w:t>
      </w:r>
      <w:r w:rsidR="00E659E1" w:rsidRPr="00244C6F">
        <w:rPr>
          <w:rFonts w:ascii="Calibri" w:hAnsi="Calibri" w:cs="Calibri"/>
        </w:rPr>
        <w:t>ėmis</w:t>
      </w:r>
      <w:r w:rsidR="007E60D2" w:rsidRPr="00244C6F">
        <w:rPr>
          <w:rFonts w:ascii="Calibri" w:hAnsi="Calibri" w:cs="Calibri"/>
        </w:rPr>
        <w:t xml:space="preserve"> </w:t>
      </w:r>
      <w:r w:rsidR="00E659E1" w:rsidRPr="00244C6F">
        <w:rPr>
          <w:rFonts w:ascii="Calibri" w:hAnsi="Calibri" w:cs="Calibri"/>
        </w:rPr>
        <w:t>pasižymintys</w:t>
      </w:r>
      <w:r w:rsidR="007E60D2" w:rsidRPr="00244C6F">
        <w:rPr>
          <w:rFonts w:ascii="Calibri" w:hAnsi="Calibri" w:cs="Calibri"/>
        </w:rPr>
        <w:t xml:space="preserve"> ir teisėtai veikiantys </w:t>
      </w:r>
      <w:r w:rsidR="006D18DD" w:rsidRPr="00244C6F">
        <w:rPr>
          <w:rFonts w:ascii="Calibri" w:hAnsi="Calibri" w:cs="Calibri"/>
        </w:rPr>
        <w:t xml:space="preserve">asmenys, </w:t>
      </w:r>
      <w:r w:rsidR="00E659E1" w:rsidRPr="00244C6F">
        <w:rPr>
          <w:rFonts w:ascii="Calibri" w:hAnsi="Calibri" w:cs="Calibri"/>
        </w:rPr>
        <w:t>todėl</w:t>
      </w:r>
      <w:r w:rsidR="006D18DD" w:rsidRPr="00244C6F">
        <w:rPr>
          <w:rFonts w:ascii="Calibri" w:hAnsi="Calibri" w:cs="Calibri"/>
        </w:rPr>
        <w:t xml:space="preserve"> pareiškėjams kilo žala. </w:t>
      </w:r>
      <w:r w:rsidR="00560ED8" w:rsidRPr="00244C6F">
        <w:rPr>
          <w:rFonts w:ascii="Calibri" w:hAnsi="Calibri" w:cs="Calibri"/>
        </w:rPr>
        <w:t xml:space="preserve">Taip pat </w:t>
      </w:r>
      <w:r w:rsidR="00E85C59" w:rsidRPr="00244C6F">
        <w:rPr>
          <w:rFonts w:ascii="Calibri" w:hAnsi="Calibri" w:cs="Calibri"/>
        </w:rPr>
        <w:t>7</w:t>
      </w:r>
      <w:r w:rsidR="000A13AE" w:rsidRPr="00244C6F">
        <w:rPr>
          <w:rFonts w:ascii="Calibri" w:hAnsi="Calibri" w:cs="Calibri"/>
        </w:rPr>
        <w:t> </w:t>
      </w:r>
      <w:r w:rsidR="00560ED8" w:rsidRPr="00244C6F">
        <w:rPr>
          <w:rFonts w:ascii="Calibri" w:hAnsi="Calibri" w:cs="Calibri"/>
        </w:rPr>
        <w:t>netinkamo įstatymo taikymo</w:t>
      </w:r>
      <w:r w:rsidR="008C6789" w:rsidRPr="00244C6F">
        <w:rPr>
          <w:rFonts w:ascii="Calibri" w:hAnsi="Calibri" w:cs="Calibri"/>
        </w:rPr>
        <w:t xml:space="preserve"> </w:t>
      </w:r>
      <w:r w:rsidR="00E87BE3" w:rsidRPr="00244C6F">
        <w:rPr>
          <w:rFonts w:ascii="Calibri" w:hAnsi="Calibri" w:cs="Calibri"/>
        </w:rPr>
        <w:t xml:space="preserve">atvejai </w:t>
      </w:r>
      <w:r w:rsidR="00560ED8" w:rsidRPr="00244C6F">
        <w:rPr>
          <w:rFonts w:ascii="Calibri" w:hAnsi="Calibri" w:cs="Calibri"/>
        </w:rPr>
        <w:t xml:space="preserve">nustatyti ir </w:t>
      </w:r>
      <w:r w:rsidR="00F90B60" w:rsidRPr="00244C6F">
        <w:rPr>
          <w:rFonts w:ascii="Calibri" w:hAnsi="Calibri" w:cs="Calibri"/>
        </w:rPr>
        <w:t>administracinėje teisenoje</w:t>
      </w:r>
      <w:r w:rsidR="00E47F52" w:rsidRPr="00244C6F">
        <w:rPr>
          <w:rFonts w:ascii="Calibri" w:hAnsi="Calibri" w:cs="Calibri"/>
        </w:rPr>
        <w:t xml:space="preserve"> – </w:t>
      </w:r>
      <w:r w:rsidR="00E87BE3" w:rsidRPr="00244C6F">
        <w:rPr>
          <w:rFonts w:ascii="Calibri" w:hAnsi="Calibri" w:cs="Calibri"/>
        </w:rPr>
        <w:t>dalyje jų</w:t>
      </w:r>
      <w:r w:rsidR="001770EE" w:rsidRPr="00244C6F">
        <w:rPr>
          <w:rFonts w:ascii="Calibri" w:hAnsi="Calibri" w:cs="Calibri"/>
        </w:rPr>
        <w:t xml:space="preserve"> </w:t>
      </w:r>
      <w:r w:rsidR="00E47F52" w:rsidRPr="00244C6F">
        <w:rPr>
          <w:rFonts w:ascii="Calibri" w:hAnsi="Calibri" w:cs="Calibri"/>
        </w:rPr>
        <w:t>nustatyta, kad</w:t>
      </w:r>
      <w:r w:rsidR="007B1054" w:rsidRPr="00244C6F">
        <w:rPr>
          <w:rFonts w:ascii="Calibri" w:hAnsi="Calibri" w:cs="Calibri"/>
        </w:rPr>
        <w:t xml:space="preserve"> </w:t>
      </w:r>
      <w:r w:rsidR="00E87BE3" w:rsidRPr="00244C6F">
        <w:rPr>
          <w:rFonts w:ascii="Calibri" w:hAnsi="Calibri" w:cs="Calibri"/>
        </w:rPr>
        <w:t xml:space="preserve">dokumentai, sukeliantys teisines pasekmes, buvo pildomi </w:t>
      </w:r>
      <w:r w:rsidR="007B1054" w:rsidRPr="00244C6F">
        <w:rPr>
          <w:rFonts w:ascii="Calibri" w:hAnsi="Calibri" w:cs="Calibri"/>
        </w:rPr>
        <w:t>ne pagal teisės aktus</w:t>
      </w:r>
      <w:r w:rsidR="00606C63" w:rsidRPr="00244C6F">
        <w:rPr>
          <w:rFonts w:ascii="Calibri" w:hAnsi="Calibri" w:cs="Calibri"/>
        </w:rPr>
        <w:t xml:space="preserve">, </w:t>
      </w:r>
      <w:r w:rsidR="00A12BC7" w:rsidRPr="00244C6F">
        <w:rPr>
          <w:rFonts w:ascii="Calibri" w:hAnsi="Calibri" w:cs="Calibri"/>
        </w:rPr>
        <w:t>taip pat</w:t>
      </w:r>
      <w:r w:rsidR="00F90B60" w:rsidRPr="00244C6F">
        <w:rPr>
          <w:rFonts w:ascii="Calibri" w:hAnsi="Calibri" w:cs="Calibri"/>
        </w:rPr>
        <w:t xml:space="preserve"> </w:t>
      </w:r>
      <w:r w:rsidR="00E87BE3" w:rsidRPr="00244C6F">
        <w:rPr>
          <w:rFonts w:ascii="Calibri" w:hAnsi="Calibri" w:cs="Calibri"/>
        </w:rPr>
        <w:t xml:space="preserve">kai kuriais atvejais </w:t>
      </w:r>
      <w:r w:rsidR="00F90B60" w:rsidRPr="00244C6F">
        <w:rPr>
          <w:rFonts w:ascii="Calibri" w:hAnsi="Calibri" w:cs="Calibri"/>
        </w:rPr>
        <w:t xml:space="preserve">asmenys </w:t>
      </w:r>
      <w:r w:rsidR="00151FEA" w:rsidRPr="00244C6F">
        <w:rPr>
          <w:rFonts w:ascii="Calibri" w:hAnsi="Calibri" w:cs="Calibri"/>
        </w:rPr>
        <w:t>buvo</w:t>
      </w:r>
      <w:r w:rsidR="00F90B60" w:rsidRPr="00244C6F">
        <w:rPr>
          <w:rFonts w:ascii="Calibri" w:hAnsi="Calibri" w:cs="Calibri"/>
        </w:rPr>
        <w:t xml:space="preserve"> netinkamai informuojami apie</w:t>
      </w:r>
      <w:r w:rsidR="00A12BC7" w:rsidRPr="00244C6F">
        <w:rPr>
          <w:rFonts w:ascii="Calibri" w:hAnsi="Calibri" w:cs="Calibri"/>
        </w:rPr>
        <w:t xml:space="preserve"> priimtus</w:t>
      </w:r>
      <w:r w:rsidR="00F90B60" w:rsidRPr="00244C6F">
        <w:rPr>
          <w:rFonts w:ascii="Calibri" w:hAnsi="Calibri" w:cs="Calibri"/>
        </w:rPr>
        <w:t xml:space="preserve"> </w:t>
      </w:r>
      <w:r w:rsidR="00F82FAD" w:rsidRPr="00244C6F">
        <w:rPr>
          <w:rFonts w:ascii="Calibri" w:hAnsi="Calibri" w:cs="Calibri"/>
        </w:rPr>
        <w:t>sprendimus, susijusius su jų interesais</w:t>
      </w:r>
      <w:r w:rsidR="00011FC1" w:rsidRPr="00244C6F">
        <w:rPr>
          <w:rFonts w:ascii="Calibri" w:hAnsi="Calibri" w:cs="Calibri"/>
        </w:rPr>
        <w:t>.</w:t>
      </w:r>
      <w:r w:rsidR="00A12BC7" w:rsidRPr="00244C6F">
        <w:rPr>
          <w:rFonts w:ascii="Calibri" w:hAnsi="Calibri" w:cs="Calibri"/>
        </w:rPr>
        <w:t xml:space="preserve"> </w:t>
      </w:r>
      <w:r w:rsidR="00011FC1" w:rsidRPr="00244C6F">
        <w:rPr>
          <w:rFonts w:ascii="Calibri" w:hAnsi="Calibri" w:cs="Calibri"/>
        </w:rPr>
        <w:t>K</w:t>
      </w:r>
      <w:r w:rsidR="00A12BC7" w:rsidRPr="00244C6F">
        <w:rPr>
          <w:rFonts w:ascii="Calibri" w:hAnsi="Calibri" w:cs="Calibri"/>
        </w:rPr>
        <w:t>itais atvejais</w:t>
      </w:r>
      <w:r w:rsidR="008F1F98" w:rsidRPr="00244C6F">
        <w:rPr>
          <w:rFonts w:ascii="Calibri" w:hAnsi="Calibri" w:cs="Calibri"/>
        </w:rPr>
        <w:t xml:space="preserve"> nustatyta, kad </w:t>
      </w:r>
      <w:r w:rsidR="00BD1190" w:rsidRPr="00244C6F">
        <w:rPr>
          <w:rFonts w:ascii="Calibri" w:hAnsi="Calibri" w:cs="Calibri"/>
        </w:rPr>
        <w:t xml:space="preserve">administracinio poveikio priemonė buvo pritaikyta </w:t>
      </w:r>
      <w:r w:rsidR="00726F77" w:rsidRPr="00244C6F">
        <w:rPr>
          <w:rFonts w:ascii="Calibri" w:hAnsi="Calibri" w:cs="Calibri"/>
        </w:rPr>
        <w:t>pažeidžiant įstatymą</w:t>
      </w:r>
      <w:r w:rsidR="00B847FD" w:rsidRPr="00244C6F">
        <w:rPr>
          <w:rFonts w:ascii="Calibri" w:hAnsi="Calibri" w:cs="Calibri"/>
        </w:rPr>
        <w:t xml:space="preserve">, </w:t>
      </w:r>
      <w:r w:rsidR="00F66494" w:rsidRPr="00244C6F">
        <w:rPr>
          <w:rFonts w:ascii="Calibri" w:hAnsi="Calibri" w:cs="Calibri"/>
        </w:rPr>
        <w:t xml:space="preserve">taip pat </w:t>
      </w:r>
      <w:r w:rsidR="00BD1190" w:rsidRPr="00244C6F">
        <w:rPr>
          <w:rFonts w:ascii="Calibri" w:hAnsi="Calibri" w:cs="Calibri"/>
        </w:rPr>
        <w:t xml:space="preserve">aplinkos apsaugos inspektorių patikros metu </w:t>
      </w:r>
      <w:r w:rsidR="0032076F" w:rsidRPr="00244C6F">
        <w:rPr>
          <w:rFonts w:ascii="Calibri" w:hAnsi="Calibri" w:cs="Calibri"/>
        </w:rPr>
        <w:t>neteisėtai</w:t>
      </w:r>
      <w:r w:rsidR="00F66494" w:rsidRPr="00244C6F">
        <w:rPr>
          <w:rFonts w:ascii="Calibri" w:hAnsi="Calibri" w:cs="Calibri"/>
        </w:rPr>
        <w:t xml:space="preserve"> panaudotos ašarinės </w:t>
      </w:r>
      <w:r w:rsidR="0094418C" w:rsidRPr="00244C6F">
        <w:rPr>
          <w:rFonts w:ascii="Calibri" w:hAnsi="Calibri" w:cs="Calibri"/>
        </w:rPr>
        <w:t>dujos</w:t>
      </w:r>
      <w:r w:rsidR="00712B66" w:rsidRPr="00244C6F">
        <w:rPr>
          <w:rFonts w:ascii="Calibri" w:hAnsi="Calibri" w:cs="Calibri"/>
        </w:rPr>
        <w:t>.</w:t>
      </w:r>
      <w:r w:rsidR="00752D21" w:rsidRPr="00244C6F">
        <w:rPr>
          <w:rFonts w:ascii="Calibri" w:hAnsi="Calibri" w:cs="Calibri"/>
        </w:rPr>
        <w:t xml:space="preserve"> </w:t>
      </w:r>
      <w:r w:rsidR="00806F97" w:rsidRPr="00244C6F">
        <w:rPr>
          <w:rFonts w:ascii="Calibri" w:hAnsi="Calibri" w:cs="Calibri"/>
        </w:rPr>
        <w:t xml:space="preserve">Vienoje administracinėje byloje nustatyta, kad </w:t>
      </w:r>
      <w:r w:rsidR="005425AE" w:rsidRPr="00244C6F">
        <w:rPr>
          <w:rFonts w:ascii="Calibri" w:hAnsi="Calibri" w:cs="Calibri"/>
        </w:rPr>
        <w:t>valstybinės institucijos darbuotoja</w:t>
      </w:r>
      <w:r w:rsidR="0032076F" w:rsidRPr="00244C6F">
        <w:rPr>
          <w:rFonts w:ascii="Calibri" w:hAnsi="Calibri" w:cs="Calibri"/>
        </w:rPr>
        <w:t>, prieš atlikdama įrašus Registrų centre,</w:t>
      </w:r>
      <w:r w:rsidR="005425AE" w:rsidRPr="00244C6F">
        <w:rPr>
          <w:rFonts w:ascii="Calibri" w:hAnsi="Calibri" w:cs="Calibri"/>
        </w:rPr>
        <w:t xml:space="preserve"> </w:t>
      </w:r>
      <w:r w:rsidR="00691891" w:rsidRPr="00244C6F">
        <w:rPr>
          <w:rFonts w:ascii="Calibri" w:hAnsi="Calibri" w:cs="Calibri"/>
        </w:rPr>
        <w:t>ne</w:t>
      </w:r>
      <w:r w:rsidR="005425AE" w:rsidRPr="00244C6F">
        <w:rPr>
          <w:rFonts w:ascii="Calibri" w:hAnsi="Calibri" w:cs="Calibri"/>
        </w:rPr>
        <w:t>patikrin</w:t>
      </w:r>
      <w:r w:rsidR="00691891" w:rsidRPr="00244C6F">
        <w:rPr>
          <w:rFonts w:ascii="Calibri" w:hAnsi="Calibri" w:cs="Calibri"/>
        </w:rPr>
        <w:t>o</w:t>
      </w:r>
      <w:r w:rsidR="005425AE" w:rsidRPr="00244C6F">
        <w:rPr>
          <w:rFonts w:ascii="Calibri" w:hAnsi="Calibri" w:cs="Calibri"/>
        </w:rPr>
        <w:t xml:space="preserve"> vis</w:t>
      </w:r>
      <w:r w:rsidR="000A13AE" w:rsidRPr="00244C6F">
        <w:rPr>
          <w:rFonts w:ascii="Calibri" w:hAnsi="Calibri" w:cs="Calibri"/>
        </w:rPr>
        <w:t>ų</w:t>
      </w:r>
      <w:r w:rsidR="005425AE" w:rsidRPr="00244C6F">
        <w:rPr>
          <w:rFonts w:ascii="Calibri" w:hAnsi="Calibri" w:cs="Calibri"/>
        </w:rPr>
        <w:t xml:space="preserve"> būtin</w:t>
      </w:r>
      <w:r w:rsidR="000A13AE" w:rsidRPr="00244C6F">
        <w:rPr>
          <w:rFonts w:ascii="Calibri" w:hAnsi="Calibri" w:cs="Calibri"/>
        </w:rPr>
        <w:t>ų</w:t>
      </w:r>
      <w:r w:rsidR="005425AE" w:rsidRPr="00244C6F">
        <w:rPr>
          <w:rFonts w:ascii="Calibri" w:hAnsi="Calibri" w:cs="Calibri"/>
        </w:rPr>
        <w:t xml:space="preserve"> aplinkyb</w:t>
      </w:r>
      <w:r w:rsidR="000A13AE" w:rsidRPr="00244C6F">
        <w:rPr>
          <w:rFonts w:ascii="Calibri" w:hAnsi="Calibri" w:cs="Calibri"/>
        </w:rPr>
        <w:t>ių</w:t>
      </w:r>
      <w:r w:rsidR="00647D0A" w:rsidRPr="00244C6F">
        <w:rPr>
          <w:rFonts w:ascii="Calibri" w:hAnsi="Calibri" w:cs="Calibri"/>
        </w:rPr>
        <w:t xml:space="preserve"> ir tokiu būdu</w:t>
      </w:r>
      <w:r w:rsidR="00FC44BB" w:rsidRPr="00244C6F">
        <w:rPr>
          <w:rFonts w:ascii="Calibri" w:hAnsi="Calibri" w:cs="Calibri"/>
        </w:rPr>
        <w:t xml:space="preserve"> </w:t>
      </w:r>
      <w:r w:rsidR="0032076F" w:rsidRPr="00244C6F">
        <w:rPr>
          <w:rFonts w:ascii="Calibri" w:hAnsi="Calibri" w:cs="Calibri"/>
        </w:rPr>
        <w:t xml:space="preserve">buvo padaryta </w:t>
      </w:r>
      <w:r w:rsidR="005850DF" w:rsidRPr="00244C6F">
        <w:rPr>
          <w:rFonts w:ascii="Calibri" w:hAnsi="Calibri" w:cs="Calibri"/>
        </w:rPr>
        <w:t>žal</w:t>
      </w:r>
      <w:r w:rsidR="0032076F" w:rsidRPr="00244C6F">
        <w:rPr>
          <w:rFonts w:ascii="Calibri" w:hAnsi="Calibri" w:cs="Calibri"/>
        </w:rPr>
        <w:t>a.</w:t>
      </w:r>
    </w:p>
    <w:p w14:paraId="73461B84" w14:textId="3B571B67" w:rsidR="00871143" w:rsidRPr="00244C6F" w:rsidRDefault="00C75157" w:rsidP="002E641C">
      <w:pPr>
        <w:spacing w:after="0"/>
        <w:ind w:firstLine="720"/>
        <w:jc w:val="both"/>
        <w:rPr>
          <w:rFonts w:ascii="Calibri" w:hAnsi="Calibri" w:cs="Calibri"/>
        </w:rPr>
      </w:pPr>
      <w:r w:rsidRPr="00244C6F">
        <w:rPr>
          <w:rFonts w:ascii="Calibri" w:hAnsi="Calibri" w:cs="Calibri"/>
        </w:rPr>
        <w:t>Teismų sprendim</w:t>
      </w:r>
      <w:r w:rsidR="00400561" w:rsidRPr="00244C6F">
        <w:rPr>
          <w:rFonts w:ascii="Calibri" w:hAnsi="Calibri" w:cs="Calibri"/>
        </w:rPr>
        <w:t>uose, kuriuose buvo pripažinti valstybės neteisėti veiksmai</w:t>
      </w:r>
      <w:r w:rsidR="00F858C0" w:rsidRPr="00244C6F">
        <w:rPr>
          <w:rFonts w:ascii="Calibri" w:hAnsi="Calibri" w:cs="Calibri"/>
        </w:rPr>
        <w:t>, be kita ko, buvo nusta</w:t>
      </w:r>
      <w:r w:rsidR="00682251" w:rsidRPr="00244C6F">
        <w:rPr>
          <w:rFonts w:ascii="Calibri" w:hAnsi="Calibri" w:cs="Calibri"/>
        </w:rPr>
        <w:t>tyta, kad teismai ir ikiteisminio tyrimo pareigūnai ne</w:t>
      </w:r>
      <w:r w:rsidR="00DE6E22" w:rsidRPr="00244C6F">
        <w:rPr>
          <w:rFonts w:ascii="Calibri" w:hAnsi="Calibri" w:cs="Calibri"/>
        </w:rPr>
        <w:t>pakankamai</w:t>
      </w:r>
      <w:r w:rsidR="00682251" w:rsidRPr="00244C6F">
        <w:rPr>
          <w:rFonts w:ascii="Calibri" w:hAnsi="Calibri" w:cs="Calibri"/>
        </w:rPr>
        <w:t xml:space="preserve"> motyv</w:t>
      </w:r>
      <w:r w:rsidR="000A13AE" w:rsidRPr="00244C6F">
        <w:rPr>
          <w:rFonts w:ascii="Calibri" w:hAnsi="Calibri" w:cs="Calibri"/>
        </w:rPr>
        <w:t>avo</w:t>
      </w:r>
      <w:r w:rsidR="00682251" w:rsidRPr="00244C6F">
        <w:rPr>
          <w:rFonts w:ascii="Calibri" w:hAnsi="Calibri" w:cs="Calibri"/>
        </w:rPr>
        <w:t xml:space="preserve"> </w:t>
      </w:r>
      <w:r w:rsidR="00DE6E22" w:rsidRPr="00244C6F">
        <w:rPr>
          <w:rFonts w:ascii="Calibri" w:hAnsi="Calibri" w:cs="Calibri"/>
        </w:rPr>
        <w:t>sprendimus</w:t>
      </w:r>
      <w:r w:rsidR="000039E7" w:rsidRPr="00244C6F">
        <w:rPr>
          <w:rFonts w:ascii="Calibri" w:hAnsi="Calibri" w:cs="Calibri"/>
        </w:rPr>
        <w:t xml:space="preserve"> – </w:t>
      </w:r>
      <w:r w:rsidR="00671506">
        <w:rPr>
          <w:rFonts w:ascii="Calibri" w:hAnsi="Calibri" w:cs="Calibri"/>
        </w:rPr>
        <w:t>3</w:t>
      </w:r>
      <w:r w:rsidR="000A13AE" w:rsidRPr="00244C6F">
        <w:rPr>
          <w:rFonts w:ascii="Calibri" w:hAnsi="Calibri" w:cs="Calibri"/>
        </w:rPr>
        <w:t> </w:t>
      </w:r>
      <w:r w:rsidR="000039E7" w:rsidRPr="00244C6F">
        <w:rPr>
          <w:rFonts w:ascii="Calibri" w:hAnsi="Calibri" w:cs="Calibri"/>
        </w:rPr>
        <w:t xml:space="preserve">atvejai ir </w:t>
      </w:r>
      <w:r w:rsidR="00671506">
        <w:rPr>
          <w:rFonts w:ascii="Calibri" w:hAnsi="Calibri" w:cs="Calibri"/>
        </w:rPr>
        <w:t>visi</w:t>
      </w:r>
      <w:r w:rsidR="000039E7" w:rsidRPr="00244C6F">
        <w:rPr>
          <w:rFonts w:ascii="Calibri" w:hAnsi="Calibri" w:cs="Calibri"/>
        </w:rPr>
        <w:t xml:space="preserve"> baudžiamosiose bylose,</w:t>
      </w:r>
      <w:r w:rsidR="00DE6E22" w:rsidRPr="00244C6F">
        <w:rPr>
          <w:rFonts w:ascii="Calibri" w:hAnsi="Calibri" w:cs="Calibri"/>
        </w:rPr>
        <w:t xml:space="preserve"> </w:t>
      </w:r>
      <w:r w:rsidR="0038586F" w:rsidRPr="00244C6F">
        <w:rPr>
          <w:rFonts w:ascii="Calibri" w:hAnsi="Calibri" w:cs="Calibri"/>
        </w:rPr>
        <w:t>t.</w:t>
      </w:r>
      <w:r w:rsidR="00DF1E5E" w:rsidRPr="00244C6F">
        <w:rPr>
          <w:rFonts w:ascii="Calibri" w:hAnsi="Calibri" w:cs="Calibri"/>
        </w:rPr>
        <w:t> </w:t>
      </w:r>
      <w:r w:rsidR="0038586F" w:rsidRPr="00244C6F">
        <w:rPr>
          <w:rFonts w:ascii="Calibri" w:hAnsi="Calibri" w:cs="Calibri"/>
        </w:rPr>
        <w:t xml:space="preserve">y. </w:t>
      </w:r>
      <w:r w:rsidR="00DE6E22" w:rsidRPr="00244C6F">
        <w:rPr>
          <w:rFonts w:ascii="Calibri" w:hAnsi="Calibri" w:cs="Calibri"/>
        </w:rPr>
        <w:t>dėl kardomosios priemonės – suėmimo skyrimo</w:t>
      </w:r>
      <w:r w:rsidR="00B61428" w:rsidRPr="00244C6F">
        <w:rPr>
          <w:rFonts w:ascii="Calibri" w:hAnsi="Calibri" w:cs="Calibri"/>
        </w:rPr>
        <w:t xml:space="preserve"> bei pratęsimo</w:t>
      </w:r>
      <w:r w:rsidR="000A13AE" w:rsidRPr="00244C6F">
        <w:rPr>
          <w:rFonts w:ascii="Calibri" w:hAnsi="Calibri" w:cs="Calibri"/>
        </w:rPr>
        <w:t xml:space="preserve"> – taikym</w:t>
      </w:r>
      <w:r w:rsidR="00DF1E5E" w:rsidRPr="00244C6F">
        <w:rPr>
          <w:rFonts w:ascii="Calibri" w:hAnsi="Calibri" w:cs="Calibri"/>
        </w:rPr>
        <w:t>o</w:t>
      </w:r>
      <w:r w:rsidR="00DE6E22" w:rsidRPr="00244C6F">
        <w:rPr>
          <w:rFonts w:ascii="Calibri" w:hAnsi="Calibri" w:cs="Calibri"/>
        </w:rPr>
        <w:t xml:space="preserve">. </w:t>
      </w:r>
      <w:r w:rsidR="00A349F9" w:rsidRPr="00244C6F">
        <w:rPr>
          <w:rFonts w:ascii="Calibri" w:hAnsi="Calibri" w:cs="Calibri"/>
        </w:rPr>
        <w:t>Teismai n</w:t>
      </w:r>
      <w:r w:rsidR="00723536" w:rsidRPr="00244C6F">
        <w:rPr>
          <w:rFonts w:ascii="Calibri" w:hAnsi="Calibri" w:cs="Calibri"/>
        </w:rPr>
        <w:t>ustat</w:t>
      </w:r>
      <w:r w:rsidR="0038586F" w:rsidRPr="00244C6F">
        <w:rPr>
          <w:rFonts w:ascii="Calibri" w:hAnsi="Calibri" w:cs="Calibri"/>
        </w:rPr>
        <w:t>ė</w:t>
      </w:r>
      <w:r w:rsidR="00723536" w:rsidRPr="00244C6F">
        <w:rPr>
          <w:rFonts w:ascii="Calibri" w:hAnsi="Calibri" w:cs="Calibri"/>
        </w:rPr>
        <w:t xml:space="preserve">, kad </w:t>
      </w:r>
      <w:r w:rsidR="00B61428" w:rsidRPr="00244C6F">
        <w:rPr>
          <w:rFonts w:ascii="Calibri" w:hAnsi="Calibri" w:cs="Calibri"/>
        </w:rPr>
        <w:t xml:space="preserve">teisėsaugos pareigūnai bei teismas neskiria pakankamai dėmesio </w:t>
      </w:r>
      <w:r w:rsidR="00183B3B" w:rsidRPr="00244C6F">
        <w:rPr>
          <w:rFonts w:ascii="Calibri" w:hAnsi="Calibri" w:cs="Calibri"/>
        </w:rPr>
        <w:t>šios priemonės skyrimo būtinyb</w:t>
      </w:r>
      <w:r w:rsidR="00BC0C05" w:rsidRPr="00244C6F">
        <w:rPr>
          <w:rFonts w:ascii="Calibri" w:hAnsi="Calibri" w:cs="Calibri"/>
        </w:rPr>
        <w:t xml:space="preserve">ei motyvuoti ir </w:t>
      </w:r>
      <w:r w:rsidR="00945A5F" w:rsidRPr="00244C6F">
        <w:rPr>
          <w:rFonts w:ascii="Calibri" w:hAnsi="Calibri" w:cs="Calibri"/>
        </w:rPr>
        <w:t xml:space="preserve">neatskleidžia jos pagrindų. </w:t>
      </w:r>
      <w:r w:rsidR="00FF0379" w:rsidRPr="00244C6F">
        <w:rPr>
          <w:rFonts w:ascii="Calibri" w:hAnsi="Calibri" w:cs="Calibri"/>
        </w:rPr>
        <w:t>Tokius veiksmus teismai</w:t>
      </w:r>
      <w:r w:rsidR="007734B3" w:rsidRPr="00244C6F">
        <w:rPr>
          <w:rFonts w:ascii="Calibri" w:hAnsi="Calibri" w:cs="Calibri"/>
        </w:rPr>
        <w:t xml:space="preserve"> valstybės civilinės deliktinės atsakomybės bylose</w:t>
      </w:r>
      <w:r w:rsidR="00FF0379" w:rsidRPr="00244C6F">
        <w:rPr>
          <w:rFonts w:ascii="Calibri" w:hAnsi="Calibri" w:cs="Calibri"/>
        </w:rPr>
        <w:t xml:space="preserve"> laiko neteisėtais.</w:t>
      </w:r>
      <w:r w:rsidR="00C208E9" w:rsidRPr="00244C6F">
        <w:rPr>
          <w:rFonts w:ascii="Calibri" w:hAnsi="Calibri" w:cs="Calibri"/>
        </w:rPr>
        <w:t xml:space="preserve"> </w:t>
      </w:r>
    </w:p>
    <w:p w14:paraId="493BFFA4" w14:textId="72DBCD1F" w:rsidR="00AA280B" w:rsidRPr="00244C6F" w:rsidRDefault="00A74E41" w:rsidP="002E641C">
      <w:pPr>
        <w:spacing w:after="0"/>
        <w:ind w:firstLine="720"/>
        <w:jc w:val="both"/>
        <w:rPr>
          <w:rFonts w:ascii="Calibri" w:hAnsi="Calibri" w:cs="Calibri"/>
        </w:rPr>
      </w:pPr>
      <w:r w:rsidRPr="00244C6F">
        <w:rPr>
          <w:rFonts w:ascii="Calibri" w:hAnsi="Calibri" w:cs="Calibri"/>
        </w:rPr>
        <w:t>N</w:t>
      </w:r>
      <w:r w:rsidR="00C208E9" w:rsidRPr="00244C6F">
        <w:rPr>
          <w:rFonts w:ascii="Calibri" w:hAnsi="Calibri" w:cs="Calibri"/>
        </w:rPr>
        <w:t>edidelėje dalyje</w:t>
      </w:r>
      <w:r w:rsidR="00080550" w:rsidRPr="00244C6F">
        <w:rPr>
          <w:rFonts w:ascii="Calibri" w:hAnsi="Calibri" w:cs="Calibri"/>
        </w:rPr>
        <w:t xml:space="preserve"> </w:t>
      </w:r>
      <w:r w:rsidR="00BC0C05" w:rsidRPr="00244C6F">
        <w:rPr>
          <w:rFonts w:ascii="Calibri" w:hAnsi="Calibri" w:cs="Calibri"/>
        </w:rPr>
        <w:t>(</w:t>
      </w:r>
      <w:r w:rsidR="000E61F8" w:rsidRPr="00244C6F">
        <w:rPr>
          <w:rFonts w:ascii="Calibri" w:hAnsi="Calibri" w:cs="Calibri"/>
        </w:rPr>
        <w:t>2</w:t>
      </w:r>
      <w:r w:rsidR="00080550" w:rsidRPr="00244C6F">
        <w:rPr>
          <w:rFonts w:ascii="Calibri" w:hAnsi="Calibri" w:cs="Calibri"/>
        </w:rPr>
        <w:t xml:space="preserve"> atvejai</w:t>
      </w:r>
      <w:r w:rsidR="00BC0C05" w:rsidRPr="00244C6F">
        <w:rPr>
          <w:rFonts w:ascii="Calibri" w:hAnsi="Calibri" w:cs="Calibri"/>
        </w:rPr>
        <w:t>)</w:t>
      </w:r>
      <w:r w:rsidR="00C208E9" w:rsidRPr="00244C6F">
        <w:rPr>
          <w:rFonts w:ascii="Calibri" w:hAnsi="Calibri" w:cs="Calibri"/>
        </w:rPr>
        <w:t xml:space="preserve"> sprendimų buvo konstatuoti neteisėti veiksmai</w:t>
      </w:r>
      <w:r w:rsidR="00BC0C05" w:rsidRPr="00244C6F">
        <w:rPr>
          <w:rFonts w:ascii="Calibri" w:hAnsi="Calibri" w:cs="Calibri"/>
        </w:rPr>
        <w:t>, susiję su</w:t>
      </w:r>
      <w:r w:rsidR="00C208E9" w:rsidRPr="00244C6F">
        <w:rPr>
          <w:rFonts w:ascii="Calibri" w:hAnsi="Calibri" w:cs="Calibri"/>
        </w:rPr>
        <w:t xml:space="preserve"> </w:t>
      </w:r>
      <w:r w:rsidR="006C095C" w:rsidRPr="00244C6F">
        <w:rPr>
          <w:rFonts w:ascii="Calibri" w:hAnsi="Calibri" w:cs="Calibri"/>
        </w:rPr>
        <w:t>netinkam</w:t>
      </w:r>
      <w:r w:rsidR="00BC0C05" w:rsidRPr="00244C6F">
        <w:rPr>
          <w:rFonts w:ascii="Calibri" w:hAnsi="Calibri" w:cs="Calibri"/>
        </w:rPr>
        <w:t>u</w:t>
      </w:r>
      <w:r w:rsidR="006C095C" w:rsidRPr="00244C6F">
        <w:rPr>
          <w:rFonts w:ascii="Calibri" w:hAnsi="Calibri" w:cs="Calibri"/>
        </w:rPr>
        <w:t xml:space="preserve"> proceso organizavim</w:t>
      </w:r>
      <w:r w:rsidR="00BC0C05" w:rsidRPr="00244C6F">
        <w:rPr>
          <w:rFonts w:ascii="Calibri" w:hAnsi="Calibri" w:cs="Calibri"/>
        </w:rPr>
        <w:t>u</w:t>
      </w:r>
      <w:r w:rsidR="003551F5" w:rsidRPr="00244C6F">
        <w:rPr>
          <w:rFonts w:ascii="Calibri" w:hAnsi="Calibri" w:cs="Calibri"/>
        </w:rPr>
        <w:t xml:space="preserve"> baudžiamosiose bylose</w:t>
      </w:r>
      <w:r w:rsidR="006C095C" w:rsidRPr="00244C6F">
        <w:rPr>
          <w:rFonts w:ascii="Calibri" w:hAnsi="Calibri" w:cs="Calibri"/>
        </w:rPr>
        <w:t xml:space="preserve">. </w:t>
      </w:r>
      <w:r w:rsidR="00E50588" w:rsidRPr="00244C6F">
        <w:rPr>
          <w:rFonts w:ascii="Calibri" w:hAnsi="Calibri" w:cs="Calibri"/>
        </w:rPr>
        <w:t>Pastebėt</w:t>
      </w:r>
      <w:r w:rsidR="00B32804" w:rsidRPr="00244C6F">
        <w:rPr>
          <w:rFonts w:ascii="Calibri" w:hAnsi="Calibri" w:cs="Calibri"/>
        </w:rPr>
        <w:t>ina</w:t>
      </w:r>
      <w:r w:rsidR="00E50588" w:rsidRPr="00244C6F">
        <w:rPr>
          <w:rFonts w:ascii="Calibri" w:hAnsi="Calibri" w:cs="Calibri"/>
        </w:rPr>
        <w:t xml:space="preserve">, kad teismai ne kartą pažymėjo, </w:t>
      </w:r>
      <w:r w:rsidR="00BC0C05" w:rsidRPr="00244C6F">
        <w:rPr>
          <w:rFonts w:ascii="Calibri" w:hAnsi="Calibri" w:cs="Calibri"/>
        </w:rPr>
        <w:t xml:space="preserve">jog </w:t>
      </w:r>
      <w:r w:rsidR="00B32804" w:rsidRPr="00244C6F">
        <w:rPr>
          <w:rFonts w:ascii="Calibri" w:hAnsi="Calibri" w:cs="Calibri"/>
        </w:rPr>
        <w:t>posėdžių atidėjimas</w:t>
      </w:r>
      <w:r w:rsidR="007D5FF8" w:rsidRPr="00244C6F">
        <w:rPr>
          <w:rFonts w:ascii="Calibri" w:hAnsi="Calibri" w:cs="Calibri"/>
        </w:rPr>
        <w:t xml:space="preserve"> dažniausiai lemia per ilgą baudžiam</w:t>
      </w:r>
      <w:r w:rsidR="00833B7C" w:rsidRPr="00244C6F">
        <w:rPr>
          <w:rFonts w:ascii="Calibri" w:hAnsi="Calibri" w:cs="Calibri"/>
        </w:rPr>
        <w:t>o</w:t>
      </w:r>
      <w:r w:rsidR="007D5FF8" w:rsidRPr="00244C6F">
        <w:rPr>
          <w:rFonts w:ascii="Calibri" w:hAnsi="Calibri" w:cs="Calibri"/>
        </w:rPr>
        <w:t>j</w:t>
      </w:r>
      <w:r w:rsidR="00833B7C" w:rsidRPr="00244C6F">
        <w:rPr>
          <w:rFonts w:ascii="Calibri" w:hAnsi="Calibri" w:cs="Calibri"/>
        </w:rPr>
        <w:t>o</w:t>
      </w:r>
      <w:r w:rsidR="007D5FF8" w:rsidRPr="00244C6F">
        <w:rPr>
          <w:rFonts w:ascii="Calibri" w:hAnsi="Calibri" w:cs="Calibri"/>
        </w:rPr>
        <w:t xml:space="preserve"> proces</w:t>
      </w:r>
      <w:r w:rsidR="00BC0C05" w:rsidRPr="00244C6F">
        <w:rPr>
          <w:rFonts w:ascii="Calibri" w:hAnsi="Calibri" w:cs="Calibri"/>
        </w:rPr>
        <w:t>o trukmę</w:t>
      </w:r>
      <w:r w:rsidR="00C66CA9" w:rsidRPr="00244C6F">
        <w:rPr>
          <w:rFonts w:ascii="Calibri" w:hAnsi="Calibri" w:cs="Calibri"/>
        </w:rPr>
        <w:t>, kur</w:t>
      </w:r>
      <w:r w:rsidR="00BC0C05" w:rsidRPr="00244C6F">
        <w:rPr>
          <w:rFonts w:ascii="Calibri" w:hAnsi="Calibri" w:cs="Calibri"/>
        </w:rPr>
        <w:t>i ypač būdinga</w:t>
      </w:r>
      <w:r w:rsidR="00C66CA9" w:rsidRPr="00244C6F">
        <w:rPr>
          <w:rFonts w:ascii="Calibri" w:hAnsi="Calibri" w:cs="Calibri"/>
        </w:rPr>
        <w:t xml:space="preserve"> </w:t>
      </w:r>
      <w:r w:rsidR="00404ED9" w:rsidRPr="00244C6F">
        <w:rPr>
          <w:rFonts w:ascii="Calibri" w:hAnsi="Calibri" w:cs="Calibri"/>
        </w:rPr>
        <w:t>sudėtingo</w:t>
      </w:r>
      <w:r w:rsidR="00BC0C05" w:rsidRPr="00244C6F">
        <w:rPr>
          <w:rFonts w:ascii="Calibri" w:hAnsi="Calibri" w:cs="Calibri"/>
        </w:rPr>
        <w:t>m</w:t>
      </w:r>
      <w:r w:rsidR="00404ED9" w:rsidRPr="00244C6F">
        <w:rPr>
          <w:rFonts w:ascii="Calibri" w:hAnsi="Calibri" w:cs="Calibri"/>
        </w:rPr>
        <w:t>s, daugiatomė</w:t>
      </w:r>
      <w:r w:rsidR="00BC0C05" w:rsidRPr="00244C6F">
        <w:rPr>
          <w:rFonts w:ascii="Calibri" w:hAnsi="Calibri" w:cs="Calibri"/>
        </w:rPr>
        <w:t>m</w:t>
      </w:r>
      <w:r w:rsidR="00404ED9" w:rsidRPr="00244C6F">
        <w:rPr>
          <w:rFonts w:ascii="Calibri" w:hAnsi="Calibri" w:cs="Calibri"/>
        </w:rPr>
        <w:t>s bylo</w:t>
      </w:r>
      <w:r w:rsidR="00BC0C05" w:rsidRPr="00244C6F">
        <w:rPr>
          <w:rFonts w:ascii="Calibri" w:hAnsi="Calibri" w:cs="Calibri"/>
        </w:rPr>
        <w:t>m</w:t>
      </w:r>
      <w:r w:rsidR="00404ED9" w:rsidRPr="00244C6F">
        <w:rPr>
          <w:rFonts w:ascii="Calibri" w:hAnsi="Calibri" w:cs="Calibri"/>
        </w:rPr>
        <w:t xml:space="preserve">s, </w:t>
      </w:r>
      <w:r w:rsidR="006867D9" w:rsidRPr="00244C6F">
        <w:rPr>
          <w:rFonts w:ascii="Calibri" w:hAnsi="Calibri" w:cs="Calibri"/>
        </w:rPr>
        <w:t>susijusio</w:t>
      </w:r>
      <w:r w:rsidR="00BC0C05" w:rsidRPr="00244C6F">
        <w:rPr>
          <w:rFonts w:ascii="Calibri" w:hAnsi="Calibri" w:cs="Calibri"/>
        </w:rPr>
        <w:t>m</w:t>
      </w:r>
      <w:r w:rsidR="006867D9" w:rsidRPr="00244C6F">
        <w:rPr>
          <w:rFonts w:ascii="Calibri" w:hAnsi="Calibri" w:cs="Calibri"/>
        </w:rPr>
        <w:t>s su dideliu proceso dalyvių</w:t>
      </w:r>
      <w:r w:rsidR="002652EC" w:rsidRPr="00244C6F">
        <w:rPr>
          <w:rFonts w:ascii="Calibri" w:hAnsi="Calibri" w:cs="Calibri"/>
        </w:rPr>
        <w:t>, su kuriais sudėtinga suderinti posėdžių datas</w:t>
      </w:r>
      <w:r w:rsidR="00BC0C05" w:rsidRPr="00244C6F">
        <w:rPr>
          <w:rFonts w:ascii="Calibri" w:hAnsi="Calibri" w:cs="Calibri"/>
        </w:rPr>
        <w:t>, skaičiumi</w:t>
      </w:r>
      <w:r w:rsidR="00306B4C" w:rsidRPr="00244C6F">
        <w:rPr>
          <w:rFonts w:ascii="Calibri" w:hAnsi="Calibri" w:cs="Calibri"/>
        </w:rPr>
        <w:t>. Sprendimuose akcentuojama</w:t>
      </w:r>
      <w:r w:rsidR="00497FF5" w:rsidRPr="00244C6F">
        <w:rPr>
          <w:rFonts w:ascii="Calibri" w:hAnsi="Calibri" w:cs="Calibri"/>
        </w:rPr>
        <w:t xml:space="preserve">, </w:t>
      </w:r>
      <w:r w:rsidR="003B5457" w:rsidRPr="00244C6F">
        <w:rPr>
          <w:rFonts w:ascii="Calibri" w:hAnsi="Calibri" w:cs="Calibri"/>
        </w:rPr>
        <w:t>kad</w:t>
      </w:r>
      <w:r w:rsidR="00B32804" w:rsidRPr="00244C6F">
        <w:rPr>
          <w:rFonts w:ascii="Calibri" w:hAnsi="Calibri" w:cs="Calibri"/>
        </w:rPr>
        <w:t xml:space="preserve"> proceso dalyvių</w:t>
      </w:r>
      <w:r w:rsidR="003B5457" w:rsidRPr="00244C6F">
        <w:rPr>
          <w:rFonts w:ascii="Calibri" w:hAnsi="Calibri" w:cs="Calibri"/>
        </w:rPr>
        <w:t xml:space="preserve"> (</w:t>
      </w:r>
      <w:r w:rsidR="00497FF5" w:rsidRPr="00244C6F">
        <w:rPr>
          <w:rFonts w:ascii="Calibri" w:hAnsi="Calibri" w:cs="Calibri"/>
        </w:rPr>
        <w:t xml:space="preserve">įskaitant </w:t>
      </w:r>
      <w:r w:rsidR="003B5457" w:rsidRPr="00244C6F">
        <w:rPr>
          <w:rFonts w:ascii="Calibri" w:hAnsi="Calibri" w:cs="Calibri"/>
        </w:rPr>
        <w:t>advokat</w:t>
      </w:r>
      <w:r w:rsidR="00497FF5" w:rsidRPr="00244C6F">
        <w:rPr>
          <w:rFonts w:ascii="Calibri" w:hAnsi="Calibri" w:cs="Calibri"/>
        </w:rPr>
        <w:t>us</w:t>
      </w:r>
      <w:r w:rsidR="003B5457" w:rsidRPr="00244C6F">
        <w:rPr>
          <w:rFonts w:ascii="Calibri" w:hAnsi="Calibri" w:cs="Calibri"/>
        </w:rPr>
        <w:t>)</w:t>
      </w:r>
      <w:r w:rsidR="00B32804" w:rsidRPr="00244C6F">
        <w:rPr>
          <w:rFonts w:ascii="Calibri" w:hAnsi="Calibri" w:cs="Calibri"/>
        </w:rPr>
        <w:t xml:space="preserve"> atostog</w:t>
      </w:r>
      <w:r w:rsidR="003B5457" w:rsidRPr="00244C6F">
        <w:rPr>
          <w:rFonts w:ascii="Calibri" w:hAnsi="Calibri" w:cs="Calibri"/>
        </w:rPr>
        <w:t>os</w:t>
      </w:r>
      <w:r w:rsidR="00B32804" w:rsidRPr="00244C6F">
        <w:rPr>
          <w:rFonts w:ascii="Calibri" w:hAnsi="Calibri" w:cs="Calibri"/>
        </w:rPr>
        <w:t xml:space="preserve"> </w:t>
      </w:r>
      <w:r w:rsidR="00035DCA" w:rsidRPr="00244C6F">
        <w:rPr>
          <w:rFonts w:ascii="Calibri" w:hAnsi="Calibri" w:cs="Calibri"/>
        </w:rPr>
        <w:t xml:space="preserve">dažnai lemia </w:t>
      </w:r>
      <w:r w:rsidR="004C575A" w:rsidRPr="00244C6F">
        <w:rPr>
          <w:rFonts w:ascii="Calibri" w:hAnsi="Calibri" w:cs="Calibri"/>
        </w:rPr>
        <w:t>pasikartojan</w:t>
      </w:r>
      <w:r w:rsidR="00F9381A" w:rsidRPr="00244C6F">
        <w:rPr>
          <w:rFonts w:ascii="Calibri" w:hAnsi="Calibri" w:cs="Calibri"/>
        </w:rPr>
        <w:t>čius</w:t>
      </w:r>
      <w:r w:rsidR="004C575A" w:rsidRPr="00244C6F">
        <w:rPr>
          <w:rFonts w:ascii="Calibri" w:hAnsi="Calibri" w:cs="Calibri"/>
        </w:rPr>
        <w:t xml:space="preserve"> posėdžių</w:t>
      </w:r>
      <w:r w:rsidR="000C4E75" w:rsidRPr="00244C6F">
        <w:rPr>
          <w:rFonts w:ascii="Calibri" w:hAnsi="Calibri" w:cs="Calibri"/>
        </w:rPr>
        <w:t xml:space="preserve"> atidėjim</w:t>
      </w:r>
      <w:r w:rsidR="00F9381A" w:rsidRPr="00244C6F">
        <w:rPr>
          <w:rFonts w:ascii="Calibri" w:hAnsi="Calibri" w:cs="Calibri"/>
        </w:rPr>
        <w:t>us</w:t>
      </w:r>
      <w:r w:rsidR="004C575A" w:rsidRPr="00244C6F">
        <w:rPr>
          <w:rFonts w:ascii="Calibri" w:hAnsi="Calibri" w:cs="Calibri"/>
        </w:rPr>
        <w:t>,</w:t>
      </w:r>
      <w:r w:rsidR="000C4E75" w:rsidRPr="00244C6F">
        <w:rPr>
          <w:rFonts w:ascii="Calibri" w:hAnsi="Calibri" w:cs="Calibri"/>
        </w:rPr>
        <w:t xml:space="preserve"> </w:t>
      </w:r>
      <w:r w:rsidR="00F9381A" w:rsidRPr="00244C6F">
        <w:rPr>
          <w:rFonts w:ascii="Calibri" w:hAnsi="Calibri" w:cs="Calibri"/>
        </w:rPr>
        <w:t>kurie</w:t>
      </w:r>
      <w:r w:rsidR="004C575A" w:rsidRPr="00244C6F">
        <w:rPr>
          <w:rFonts w:ascii="Calibri" w:hAnsi="Calibri" w:cs="Calibri"/>
        </w:rPr>
        <w:t>,</w:t>
      </w:r>
      <w:r w:rsidR="00171506" w:rsidRPr="00244C6F">
        <w:rPr>
          <w:rFonts w:ascii="Calibri" w:hAnsi="Calibri" w:cs="Calibri"/>
        </w:rPr>
        <w:t xml:space="preserve"> </w:t>
      </w:r>
      <w:r w:rsidR="00AF58A1" w:rsidRPr="00244C6F">
        <w:rPr>
          <w:rFonts w:ascii="Calibri" w:hAnsi="Calibri" w:cs="Calibri"/>
        </w:rPr>
        <w:t>vertinant</w:t>
      </w:r>
      <w:r w:rsidR="00171506" w:rsidRPr="00244C6F">
        <w:rPr>
          <w:rFonts w:ascii="Calibri" w:hAnsi="Calibri" w:cs="Calibri"/>
        </w:rPr>
        <w:t xml:space="preserve"> </w:t>
      </w:r>
      <w:r w:rsidR="00171506" w:rsidRPr="00244C6F">
        <w:rPr>
          <w:rFonts w:ascii="Calibri" w:hAnsi="Calibri" w:cs="Calibri"/>
        </w:rPr>
        <w:lastRenderedPageBreak/>
        <w:t>juos</w:t>
      </w:r>
      <w:r w:rsidR="00AF58A1" w:rsidRPr="00244C6F">
        <w:rPr>
          <w:rFonts w:ascii="Calibri" w:hAnsi="Calibri" w:cs="Calibri"/>
        </w:rPr>
        <w:t xml:space="preserve"> kartu su kitais nepateisinamais delsim</w:t>
      </w:r>
      <w:r w:rsidR="00F9381A" w:rsidRPr="00244C6F">
        <w:rPr>
          <w:rFonts w:ascii="Calibri" w:hAnsi="Calibri" w:cs="Calibri"/>
        </w:rPr>
        <w:t>o atvejais</w:t>
      </w:r>
      <w:r w:rsidR="00AF58A1" w:rsidRPr="00244C6F">
        <w:rPr>
          <w:rFonts w:ascii="Calibri" w:hAnsi="Calibri" w:cs="Calibri"/>
        </w:rPr>
        <w:t>, gali būti pripažint</w:t>
      </w:r>
      <w:r w:rsidR="00ED4798" w:rsidRPr="00244C6F">
        <w:rPr>
          <w:rFonts w:ascii="Calibri" w:hAnsi="Calibri" w:cs="Calibri"/>
        </w:rPr>
        <w:t>i</w:t>
      </w:r>
      <w:r w:rsidR="00AF58A1" w:rsidRPr="00244C6F">
        <w:rPr>
          <w:rFonts w:ascii="Calibri" w:hAnsi="Calibri" w:cs="Calibri"/>
        </w:rPr>
        <w:t xml:space="preserve"> kaip netinkamas proceso organizavimas</w:t>
      </w:r>
      <w:r w:rsidR="00F9381A" w:rsidRPr="00244C6F">
        <w:rPr>
          <w:rFonts w:ascii="Calibri" w:hAnsi="Calibri" w:cs="Calibri"/>
        </w:rPr>
        <w:t xml:space="preserve"> ir</w:t>
      </w:r>
      <w:r w:rsidR="00AF58A1" w:rsidRPr="00244C6F">
        <w:rPr>
          <w:rFonts w:ascii="Calibri" w:hAnsi="Calibri" w:cs="Calibri"/>
        </w:rPr>
        <w:t xml:space="preserve"> lem</w:t>
      </w:r>
      <w:r w:rsidR="00F9381A" w:rsidRPr="00244C6F">
        <w:rPr>
          <w:rFonts w:ascii="Calibri" w:hAnsi="Calibri" w:cs="Calibri"/>
        </w:rPr>
        <w:t>ti</w:t>
      </w:r>
      <w:r w:rsidR="00AF58A1" w:rsidRPr="00244C6F">
        <w:rPr>
          <w:rFonts w:ascii="Calibri" w:hAnsi="Calibri" w:cs="Calibri"/>
        </w:rPr>
        <w:t xml:space="preserve"> neteisėtų veiksmų pripažinimą.</w:t>
      </w:r>
      <w:r w:rsidR="00697B6A" w:rsidRPr="00244C6F">
        <w:rPr>
          <w:rFonts w:ascii="Calibri" w:hAnsi="Calibri" w:cs="Calibri"/>
        </w:rPr>
        <w:t xml:space="preserve"> Teismai</w:t>
      </w:r>
      <w:r w:rsidR="006A10C8" w:rsidRPr="00244C6F">
        <w:rPr>
          <w:rFonts w:ascii="Calibri" w:hAnsi="Calibri" w:cs="Calibri"/>
        </w:rPr>
        <w:t>,</w:t>
      </w:r>
      <w:r w:rsidR="00697B6A" w:rsidRPr="00244C6F">
        <w:rPr>
          <w:rFonts w:ascii="Calibri" w:hAnsi="Calibri" w:cs="Calibri"/>
        </w:rPr>
        <w:t xml:space="preserve"> </w:t>
      </w:r>
      <w:r w:rsidR="00333BC4" w:rsidRPr="00244C6F">
        <w:rPr>
          <w:rFonts w:ascii="Calibri" w:hAnsi="Calibri" w:cs="Calibri"/>
        </w:rPr>
        <w:t xml:space="preserve">vertindami, ar nebuvo </w:t>
      </w:r>
      <w:r w:rsidR="0035127D" w:rsidRPr="00244C6F">
        <w:rPr>
          <w:rFonts w:ascii="Calibri" w:hAnsi="Calibri" w:cs="Calibri"/>
        </w:rPr>
        <w:t xml:space="preserve">pažeista teisė į kuo trumpesnį procesą, </w:t>
      </w:r>
      <w:r w:rsidR="00904241" w:rsidRPr="00244C6F">
        <w:rPr>
          <w:rFonts w:ascii="Calibri" w:hAnsi="Calibri" w:cs="Calibri"/>
        </w:rPr>
        <w:t>analizuoja, ar konkreč</w:t>
      </w:r>
      <w:r w:rsidR="00692DF4" w:rsidRPr="00244C6F">
        <w:rPr>
          <w:rFonts w:ascii="Calibri" w:hAnsi="Calibri" w:cs="Calibri"/>
        </w:rPr>
        <w:t>iu</w:t>
      </w:r>
      <w:r w:rsidR="00904241" w:rsidRPr="00244C6F">
        <w:rPr>
          <w:rFonts w:ascii="Calibri" w:hAnsi="Calibri" w:cs="Calibri"/>
        </w:rPr>
        <w:t xml:space="preserve"> laikotarp</w:t>
      </w:r>
      <w:r w:rsidR="00692DF4" w:rsidRPr="00244C6F">
        <w:rPr>
          <w:rFonts w:ascii="Calibri" w:hAnsi="Calibri" w:cs="Calibri"/>
        </w:rPr>
        <w:t>iu</w:t>
      </w:r>
      <w:r w:rsidR="00904241" w:rsidRPr="00244C6F">
        <w:rPr>
          <w:rFonts w:ascii="Calibri" w:hAnsi="Calibri" w:cs="Calibri"/>
        </w:rPr>
        <w:t xml:space="preserve"> </w:t>
      </w:r>
      <w:r w:rsidR="00692DF4" w:rsidRPr="00244C6F">
        <w:rPr>
          <w:rFonts w:ascii="Calibri" w:hAnsi="Calibri" w:cs="Calibri"/>
        </w:rPr>
        <w:t xml:space="preserve">nepasitaikė </w:t>
      </w:r>
      <w:r w:rsidR="00904241" w:rsidRPr="00244C6F">
        <w:rPr>
          <w:rFonts w:ascii="Calibri" w:hAnsi="Calibri" w:cs="Calibri"/>
        </w:rPr>
        <w:t>nepateisinamų delsim</w:t>
      </w:r>
      <w:r w:rsidR="00692DF4" w:rsidRPr="00244C6F">
        <w:rPr>
          <w:rFonts w:ascii="Calibri" w:hAnsi="Calibri" w:cs="Calibri"/>
        </w:rPr>
        <w:t>o atvejų</w:t>
      </w:r>
      <w:r w:rsidR="00833B7C" w:rsidRPr="00244C6F">
        <w:rPr>
          <w:rFonts w:ascii="Calibri" w:hAnsi="Calibri" w:cs="Calibri"/>
        </w:rPr>
        <w:t>. Taigi</w:t>
      </w:r>
      <w:r w:rsidR="00904241" w:rsidRPr="00244C6F">
        <w:rPr>
          <w:rFonts w:ascii="Calibri" w:hAnsi="Calibri" w:cs="Calibri"/>
        </w:rPr>
        <w:t xml:space="preserve"> svarbu užtikrinti</w:t>
      </w:r>
      <w:r w:rsidR="00692DF4" w:rsidRPr="00244C6F">
        <w:rPr>
          <w:rFonts w:ascii="Calibri" w:hAnsi="Calibri" w:cs="Calibri"/>
        </w:rPr>
        <w:t xml:space="preserve"> efektyvų ir nuolatinį proceso organizavimą.</w:t>
      </w:r>
    </w:p>
    <w:p w14:paraId="513289EF" w14:textId="47C29B1A" w:rsidR="00407201" w:rsidRPr="00244C6F" w:rsidRDefault="00C208E9" w:rsidP="002E641C">
      <w:pPr>
        <w:spacing w:after="0"/>
        <w:ind w:firstLine="720"/>
        <w:jc w:val="both"/>
        <w:rPr>
          <w:rFonts w:ascii="Calibri" w:hAnsi="Calibri" w:cs="Calibri"/>
        </w:rPr>
      </w:pPr>
      <w:r w:rsidRPr="00244C6F">
        <w:rPr>
          <w:rFonts w:ascii="Calibri" w:hAnsi="Calibri" w:cs="Calibri"/>
        </w:rPr>
        <w:t xml:space="preserve">Galiausiai </w:t>
      </w:r>
      <w:r w:rsidR="0073224F" w:rsidRPr="00244C6F">
        <w:rPr>
          <w:rFonts w:ascii="Calibri" w:hAnsi="Calibri" w:cs="Calibri"/>
        </w:rPr>
        <w:t>administracinėje byloje</w:t>
      </w:r>
      <w:r w:rsidR="00177463" w:rsidRPr="00244C6F">
        <w:rPr>
          <w:rFonts w:ascii="Calibri" w:hAnsi="Calibri" w:cs="Calibri"/>
        </w:rPr>
        <w:t xml:space="preserve"> buvo nustatytas vienas atvejis</w:t>
      </w:r>
      <w:r w:rsidR="00F65425" w:rsidRPr="00244C6F">
        <w:rPr>
          <w:rFonts w:ascii="Calibri" w:hAnsi="Calibri" w:cs="Calibri"/>
        </w:rPr>
        <w:t xml:space="preserve">, kai </w:t>
      </w:r>
      <w:r w:rsidR="00982182" w:rsidRPr="00244C6F">
        <w:rPr>
          <w:rFonts w:ascii="Calibri" w:hAnsi="Calibri" w:cs="Calibri"/>
        </w:rPr>
        <w:t xml:space="preserve">dėl pareigūno žmogiškosios klaidos – galiojanti pareiškėjo asmens tapatybę patvirtinanti kortelė buvo </w:t>
      </w:r>
      <w:r w:rsidR="00177463" w:rsidRPr="00244C6F">
        <w:rPr>
          <w:rFonts w:ascii="Calibri" w:hAnsi="Calibri" w:cs="Calibri"/>
        </w:rPr>
        <w:t xml:space="preserve">neteisėtai </w:t>
      </w:r>
      <w:r w:rsidR="00982182" w:rsidRPr="00244C6F">
        <w:rPr>
          <w:rFonts w:ascii="Calibri" w:hAnsi="Calibri" w:cs="Calibri"/>
        </w:rPr>
        <w:t>paskelbta paieškoma</w:t>
      </w:r>
      <w:r w:rsidR="00177463" w:rsidRPr="00244C6F">
        <w:rPr>
          <w:rFonts w:ascii="Calibri" w:hAnsi="Calibri" w:cs="Calibri"/>
        </w:rPr>
        <w:t xml:space="preserve"> –</w:t>
      </w:r>
      <w:r w:rsidR="00982182" w:rsidRPr="00244C6F">
        <w:rPr>
          <w:rFonts w:ascii="Calibri" w:hAnsi="Calibri" w:cs="Calibri"/>
        </w:rPr>
        <w:t xml:space="preserve"> </w:t>
      </w:r>
      <w:r w:rsidR="0098383D" w:rsidRPr="00244C6F">
        <w:rPr>
          <w:rFonts w:ascii="Calibri" w:hAnsi="Calibri" w:cs="Calibri"/>
        </w:rPr>
        <w:t>pareiškėjas patyrė žalą, kuri jam buvo atlyginta.</w:t>
      </w:r>
    </w:p>
    <w:p w14:paraId="3C7C06B4" w14:textId="511272A8" w:rsidR="00BB5E2D" w:rsidRPr="00244C6F" w:rsidRDefault="00A916BA" w:rsidP="00A916BA">
      <w:pPr>
        <w:tabs>
          <w:tab w:val="left" w:pos="7309"/>
        </w:tabs>
        <w:spacing w:after="0"/>
        <w:jc w:val="both"/>
        <w:rPr>
          <w:rFonts w:ascii="Calibri" w:hAnsi="Calibri" w:cs="Calibri"/>
        </w:rPr>
      </w:pPr>
      <w:r w:rsidRPr="00244C6F">
        <w:rPr>
          <w:rFonts w:ascii="Calibri" w:hAnsi="Calibri" w:cs="Calibri"/>
        </w:rPr>
        <w:tab/>
        <w:t xml:space="preserve">                           1 lentelė</w:t>
      </w:r>
    </w:p>
    <w:tbl>
      <w:tblPr>
        <w:tblStyle w:val="5tinkleliolenteltamsi4parykinimas"/>
        <w:tblW w:w="9634" w:type="dxa"/>
        <w:tblLayout w:type="fixed"/>
        <w:tblLook w:val="04A0" w:firstRow="1" w:lastRow="0" w:firstColumn="1" w:lastColumn="0" w:noHBand="0" w:noVBand="1"/>
      </w:tblPr>
      <w:tblGrid>
        <w:gridCol w:w="2211"/>
        <w:gridCol w:w="7423"/>
      </w:tblGrid>
      <w:tr w:rsidR="00F24B0A" w:rsidRPr="00244C6F" w14:paraId="1CBFBEAE" w14:textId="77777777" w:rsidTr="00183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Borders>
              <w:right w:val="single" w:sz="4" w:space="0" w:color="auto"/>
            </w:tcBorders>
            <w:shd w:val="clear" w:color="auto" w:fill="0F9ED5"/>
          </w:tcPr>
          <w:p w14:paraId="74D75C6A" w14:textId="63127806" w:rsidR="00F24B0A" w:rsidRPr="00244C6F" w:rsidRDefault="00AE6702" w:rsidP="000A63BA">
            <w:pPr>
              <w:rPr>
                <w:rFonts w:ascii="Calibri" w:hAnsi="Calibri" w:cs="Calibri"/>
              </w:rPr>
            </w:pPr>
            <w:r w:rsidRPr="00244C6F">
              <w:rPr>
                <w:rFonts w:ascii="Calibri" w:hAnsi="Calibri" w:cs="Calibri"/>
              </w:rPr>
              <w:t>Teismo konstatuotas n</w:t>
            </w:r>
            <w:r w:rsidR="00DC33B8" w:rsidRPr="00244C6F">
              <w:rPr>
                <w:rFonts w:ascii="Calibri" w:hAnsi="Calibri" w:cs="Calibri"/>
              </w:rPr>
              <w:t>eteisėtas veiksmas</w:t>
            </w:r>
          </w:p>
        </w:tc>
        <w:tc>
          <w:tcPr>
            <w:tcW w:w="7423" w:type="dxa"/>
            <w:tcBorders>
              <w:left w:val="single" w:sz="4" w:space="0" w:color="auto"/>
            </w:tcBorders>
            <w:shd w:val="clear" w:color="auto" w:fill="0F9ED5"/>
          </w:tcPr>
          <w:p w14:paraId="050144F9" w14:textId="3F190D8C" w:rsidR="00F24B0A" w:rsidRPr="00244C6F" w:rsidRDefault="00D02B94" w:rsidP="009135D3">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Teismo vertinimas</w:t>
            </w:r>
          </w:p>
        </w:tc>
      </w:tr>
      <w:tr w:rsidR="00A54493" w:rsidRPr="00244C6F" w14:paraId="7B0A3B84" w14:textId="77777777" w:rsidTr="009E1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val="restart"/>
            <w:vAlign w:val="center"/>
          </w:tcPr>
          <w:p w14:paraId="2C1C9F07" w14:textId="49221455" w:rsidR="00A54493" w:rsidRPr="00244C6F" w:rsidRDefault="00A54493" w:rsidP="00057BA3">
            <w:pPr>
              <w:rPr>
                <w:rFonts w:ascii="Calibri" w:hAnsi="Calibri" w:cs="Calibri"/>
                <w:b w:val="0"/>
                <w:bCs w:val="0"/>
              </w:rPr>
            </w:pPr>
            <w:r w:rsidRPr="00244C6F">
              <w:rPr>
                <w:rFonts w:ascii="Calibri" w:hAnsi="Calibri" w:cs="Calibri"/>
              </w:rPr>
              <w:t>Nepakankamai motyvuoti</w:t>
            </w:r>
            <w:r w:rsidR="00057BA3" w:rsidRPr="00244C6F">
              <w:rPr>
                <w:rFonts w:ascii="Calibri" w:hAnsi="Calibri" w:cs="Calibri"/>
              </w:rPr>
              <w:t xml:space="preserve">, formalūs </w:t>
            </w:r>
            <w:r w:rsidRPr="00244C6F">
              <w:rPr>
                <w:rFonts w:ascii="Calibri" w:hAnsi="Calibri" w:cs="Calibri"/>
              </w:rPr>
              <w:t xml:space="preserve"> sprendimai</w:t>
            </w:r>
            <w:r w:rsidR="001E7196" w:rsidRPr="00244C6F">
              <w:rPr>
                <w:rFonts w:ascii="Calibri" w:hAnsi="Calibri" w:cs="Calibri"/>
              </w:rPr>
              <w:t xml:space="preserve"> dėl kardomųjų priemonių skyrimo</w:t>
            </w:r>
          </w:p>
          <w:p w14:paraId="61C0C1F3" w14:textId="77777777" w:rsidR="004F42D0" w:rsidRPr="00244C6F" w:rsidRDefault="004F42D0" w:rsidP="005E6E3F">
            <w:pPr>
              <w:rPr>
                <w:rFonts w:ascii="Calibri" w:hAnsi="Calibri" w:cs="Calibri"/>
                <w:b w:val="0"/>
                <w:bCs w:val="0"/>
              </w:rPr>
            </w:pPr>
          </w:p>
          <w:p w14:paraId="59C10F1F" w14:textId="77777777" w:rsidR="004F42D0" w:rsidRPr="00244C6F" w:rsidRDefault="004F42D0" w:rsidP="005E6E3F">
            <w:pPr>
              <w:rPr>
                <w:rFonts w:ascii="Calibri" w:hAnsi="Calibri" w:cs="Calibri"/>
                <w:b w:val="0"/>
                <w:bCs w:val="0"/>
              </w:rPr>
            </w:pPr>
          </w:p>
          <w:p w14:paraId="3C85CEC1" w14:textId="77777777" w:rsidR="004F42D0" w:rsidRPr="00244C6F" w:rsidRDefault="004F42D0" w:rsidP="005E6E3F">
            <w:pPr>
              <w:rPr>
                <w:rFonts w:ascii="Calibri" w:hAnsi="Calibri" w:cs="Calibri"/>
                <w:b w:val="0"/>
                <w:bCs w:val="0"/>
              </w:rPr>
            </w:pPr>
          </w:p>
          <w:p w14:paraId="185ADF2F" w14:textId="2F871312" w:rsidR="004F42D0" w:rsidRPr="00244C6F" w:rsidRDefault="004F42D0" w:rsidP="005E6E3F">
            <w:pPr>
              <w:rPr>
                <w:rFonts w:ascii="Calibri" w:hAnsi="Calibri" w:cs="Calibri"/>
              </w:rPr>
            </w:pPr>
          </w:p>
        </w:tc>
        <w:tc>
          <w:tcPr>
            <w:tcW w:w="7423" w:type="dxa"/>
            <w:tcBorders>
              <w:bottom w:val="single" w:sz="4" w:space="0" w:color="FFFFFF" w:themeColor="background1"/>
            </w:tcBorders>
          </w:tcPr>
          <w:p w14:paraId="7130DFE5" w14:textId="706AF716" w:rsidR="00A54493" w:rsidRPr="00244C6F" w:rsidRDefault="00B5151F" w:rsidP="00A54493">
            <w:pPr>
              <w:pStyle w:val="Sraopastraipa"/>
              <w:ind w:left="602"/>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44C6F">
              <w:rPr>
                <w:rFonts w:ascii="Calibri" w:hAnsi="Calibri" w:cs="Calibri"/>
                <w:b/>
                <w:bCs/>
              </w:rPr>
              <w:t>Baudžiamosiose bylose</w:t>
            </w:r>
          </w:p>
        </w:tc>
      </w:tr>
      <w:tr w:rsidR="00A54493" w:rsidRPr="00244C6F" w14:paraId="246FBD85" w14:textId="77777777" w:rsidTr="009E1AB6">
        <w:tc>
          <w:tcPr>
            <w:cnfStyle w:val="001000000000" w:firstRow="0" w:lastRow="0" w:firstColumn="1" w:lastColumn="0" w:oddVBand="0" w:evenVBand="0" w:oddHBand="0" w:evenHBand="0" w:firstRowFirstColumn="0" w:firstRowLastColumn="0" w:lastRowFirstColumn="0" w:lastRowLastColumn="0"/>
            <w:tcW w:w="2211" w:type="dxa"/>
            <w:vMerge/>
            <w:vAlign w:val="center"/>
          </w:tcPr>
          <w:p w14:paraId="0302D1DC" w14:textId="7988C1C3" w:rsidR="00A54493" w:rsidRPr="00244C6F" w:rsidRDefault="00A54493" w:rsidP="001E7196">
            <w:pPr>
              <w:jc w:val="center"/>
              <w:rPr>
                <w:rFonts w:ascii="Calibri" w:hAnsi="Calibri" w:cs="Calibri"/>
              </w:rPr>
            </w:pPr>
          </w:p>
        </w:tc>
        <w:tc>
          <w:tcPr>
            <w:tcW w:w="7423" w:type="dxa"/>
            <w:tcBorders>
              <w:bottom w:val="single" w:sz="4" w:space="0" w:color="FFFFFF" w:themeColor="background1"/>
            </w:tcBorders>
          </w:tcPr>
          <w:p w14:paraId="74F60C10" w14:textId="5AF6F4E2" w:rsidR="00A54493" w:rsidRPr="00244C6F" w:rsidRDefault="00A54493" w:rsidP="006E0D25">
            <w:pPr>
              <w:pStyle w:val="Sraopastraipa"/>
              <w:numPr>
                <w:ilvl w:val="0"/>
                <w:numId w:val="1"/>
              </w:numPr>
              <w:ind w:left="602"/>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Teismai ir ikiteisminio tyrimo pareigūnai pažeidė bendrąją rūpestingumo ir atidumo pareigą, įtvirtintą </w:t>
            </w:r>
            <w:r w:rsidR="008F3425" w:rsidRPr="00244C6F">
              <w:rPr>
                <w:rFonts w:ascii="Calibri" w:hAnsi="Calibri" w:cs="Calibri"/>
              </w:rPr>
              <w:t>Lietuvos Respublikos baudžiamojo proceso kodekse</w:t>
            </w:r>
            <w:r w:rsidR="007E43BE" w:rsidRPr="00244C6F">
              <w:rPr>
                <w:rFonts w:ascii="Calibri" w:hAnsi="Calibri" w:cs="Calibri"/>
              </w:rPr>
              <w:t xml:space="preserve"> (toliau – BPK)</w:t>
            </w:r>
            <w:r w:rsidR="00082256" w:rsidRPr="00244C6F">
              <w:rPr>
                <w:rFonts w:ascii="Calibri" w:hAnsi="Calibri" w:cs="Calibri"/>
              </w:rPr>
              <w:t xml:space="preserve">, nes netinkamai </w:t>
            </w:r>
            <w:r w:rsidRPr="00244C6F">
              <w:rPr>
                <w:rFonts w:ascii="Calibri" w:hAnsi="Calibri" w:cs="Calibri"/>
              </w:rPr>
              <w:t>motyv</w:t>
            </w:r>
            <w:r w:rsidR="00082256" w:rsidRPr="00244C6F">
              <w:rPr>
                <w:rFonts w:ascii="Calibri" w:hAnsi="Calibri" w:cs="Calibri"/>
              </w:rPr>
              <w:t>avo</w:t>
            </w:r>
            <w:r w:rsidRPr="00244C6F">
              <w:rPr>
                <w:rFonts w:ascii="Calibri" w:hAnsi="Calibri" w:cs="Calibri"/>
              </w:rPr>
              <w:t xml:space="preserve"> priimam</w:t>
            </w:r>
            <w:r w:rsidR="00082256" w:rsidRPr="00244C6F">
              <w:rPr>
                <w:rFonts w:ascii="Calibri" w:hAnsi="Calibri" w:cs="Calibri"/>
              </w:rPr>
              <w:t>us</w:t>
            </w:r>
            <w:r w:rsidRPr="00244C6F">
              <w:rPr>
                <w:rFonts w:ascii="Calibri" w:hAnsi="Calibri" w:cs="Calibri"/>
              </w:rPr>
              <w:t xml:space="preserve"> sprendim</w:t>
            </w:r>
            <w:r w:rsidR="00082256" w:rsidRPr="00244C6F">
              <w:rPr>
                <w:rFonts w:ascii="Calibri" w:hAnsi="Calibri" w:cs="Calibri"/>
              </w:rPr>
              <w:t>us</w:t>
            </w:r>
            <w:r w:rsidRPr="00244C6F">
              <w:rPr>
                <w:rFonts w:ascii="Calibri" w:hAnsi="Calibri" w:cs="Calibri"/>
              </w:rPr>
              <w:t xml:space="preserve"> dėl kardomosios priemonės skyrimo, pratęsimo</w:t>
            </w:r>
            <w:r w:rsidR="00082256" w:rsidRPr="00244C6F">
              <w:rPr>
                <w:rFonts w:ascii="Calibri" w:hAnsi="Calibri" w:cs="Calibri"/>
              </w:rPr>
              <w:t xml:space="preserve"> ir</w:t>
            </w:r>
            <w:r w:rsidRPr="00244C6F">
              <w:rPr>
                <w:rFonts w:ascii="Calibri" w:hAnsi="Calibri" w:cs="Calibri"/>
              </w:rPr>
              <w:t xml:space="preserve"> </w:t>
            </w:r>
            <w:r w:rsidR="00082256" w:rsidRPr="00244C6F">
              <w:rPr>
                <w:rFonts w:ascii="Calibri" w:hAnsi="Calibri" w:cs="Calibri"/>
              </w:rPr>
              <w:t>ne</w:t>
            </w:r>
            <w:r w:rsidRPr="00244C6F">
              <w:rPr>
                <w:rFonts w:ascii="Calibri" w:hAnsi="Calibri" w:cs="Calibri"/>
              </w:rPr>
              <w:t>atlik</w:t>
            </w:r>
            <w:r w:rsidR="00082256" w:rsidRPr="00244C6F">
              <w:rPr>
                <w:rFonts w:ascii="Calibri" w:hAnsi="Calibri" w:cs="Calibri"/>
              </w:rPr>
              <w:t>o</w:t>
            </w:r>
            <w:r w:rsidRPr="00244C6F">
              <w:rPr>
                <w:rFonts w:ascii="Calibri" w:hAnsi="Calibri" w:cs="Calibri"/>
              </w:rPr>
              <w:t xml:space="preserve"> vis</w:t>
            </w:r>
            <w:r w:rsidR="00082256" w:rsidRPr="00244C6F">
              <w:rPr>
                <w:rFonts w:ascii="Calibri" w:hAnsi="Calibri" w:cs="Calibri"/>
              </w:rPr>
              <w:t>ų</w:t>
            </w:r>
            <w:r w:rsidRPr="00244C6F">
              <w:rPr>
                <w:rFonts w:ascii="Calibri" w:hAnsi="Calibri" w:cs="Calibri"/>
              </w:rPr>
              <w:t xml:space="preserve"> būtin</w:t>
            </w:r>
            <w:r w:rsidR="00082256" w:rsidRPr="00244C6F">
              <w:rPr>
                <w:rFonts w:ascii="Calibri" w:hAnsi="Calibri" w:cs="Calibri"/>
              </w:rPr>
              <w:t>ų</w:t>
            </w:r>
            <w:r w:rsidRPr="00244C6F">
              <w:rPr>
                <w:rFonts w:ascii="Calibri" w:hAnsi="Calibri" w:cs="Calibri"/>
              </w:rPr>
              <w:t xml:space="preserve"> veiksm</w:t>
            </w:r>
            <w:r w:rsidR="00082256" w:rsidRPr="00244C6F">
              <w:rPr>
                <w:rFonts w:ascii="Calibri" w:hAnsi="Calibri" w:cs="Calibri"/>
              </w:rPr>
              <w:t>ų tyrimui reikšmingoms aplinkybėms</w:t>
            </w:r>
            <w:r w:rsidRPr="00244C6F">
              <w:rPr>
                <w:rFonts w:ascii="Calibri" w:hAnsi="Calibri" w:cs="Calibri"/>
              </w:rPr>
              <w:t xml:space="preserve"> nustatyti, todėl buvo pagrindas konstatuoti teismo ir ikiteisminio tyrimo pareigūnų neteisėtus veiksmus.</w:t>
            </w:r>
            <w:r w:rsidRPr="00244C6F">
              <w:rPr>
                <w:rStyle w:val="Puslapioinaosnuoroda"/>
                <w:rFonts w:ascii="Calibri" w:hAnsi="Calibri" w:cs="Calibri"/>
              </w:rPr>
              <w:footnoteReference w:id="6"/>
            </w:r>
          </w:p>
          <w:p w14:paraId="62E25ABD" w14:textId="01B5AFD9" w:rsidR="00444359" w:rsidRPr="00244C6F" w:rsidRDefault="00082256" w:rsidP="00BE5D6B">
            <w:pPr>
              <w:pStyle w:val="Sraopastraipa"/>
              <w:numPr>
                <w:ilvl w:val="0"/>
                <w:numId w:val="1"/>
              </w:numPr>
              <w:ind w:left="602"/>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I</w:t>
            </w:r>
            <w:r w:rsidR="00A54493" w:rsidRPr="00244C6F">
              <w:rPr>
                <w:rFonts w:ascii="Calibri" w:hAnsi="Calibri" w:cs="Calibri"/>
              </w:rPr>
              <w:t xml:space="preserve">eškovo suėmimo pratęsimas konkrečiu laikotarpiu nebuvo tinkamai motyvuotas </w:t>
            </w:r>
            <w:r w:rsidRPr="00244C6F">
              <w:rPr>
                <w:rFonts w:ascii="Calibri" w:hAnsi="Calibri" w:cs="Calibri"/>
              </w:rPr>
              <w:t xml:space="preserve">teismų nutartimis </w:t>
            </w:r>
            <w:r w:rsidR="00A54493" w:rsidRPr="00244C6F">
              <w:rPr>
                <w:rFonts w:ascii="Calibri" w:hAnsi="Calibri" w:cs="Calibri"/>
              </w:rPr>
              <w:t>ir pagrįstas konkrečiais su bylos aplinkybėmis susijusiais argumentais</w:t>
            </w:r>
            <w:r w:rsidR="004009A1" w:rsidRPr="00244C6F">
              <w:rPr>
                <w:rFonts w:ascii="Calibri" w:hAnsi="Calibri" w:cs="Calibri"/>
              </w:rPr>
              <w:t xml:space="preserve">, </w:t>
            </w:r>
            <w:r w:rsidR="00A54493" w:rsidRPr="00244C6F">
              <w:rPr>
                <w:rFonts w:ascii="Calibri" w:hAnsi="Calibri" w:cs="Calibri"/>
              </w:rPr>
              <w:t>nenurodyti konkretūs atsisakymo taikyti švelnesnes kardomąsias priemones motyvai.</w:t>
            </w:r>
            <w:r w:rsidR="00A54493" w:rsidRPr="00244C6F">
              <w:rPr>
                <w:rStyle w:val="Puslapioinaosnuoroda"/>
                <w:rFonts w:ascii="Calibri" w:hAnsi="Calibri" w:cs="Calibri"/>
              </w:rPr>
              <w:footnoteReference w:id="7"/>
            </w:r>
            <w:r w:rsidR="001F4314" w:rsidRPr="00244C6F">
              <w:rPr>
                <w:rFonts w:ascii="Calibri" w:hAnsi="Calibri" w:cs="Calibri"/>
              </w:rPr>
              <w:t xml:space="preserve">  </w:t>
            </w:r>
          </w:p>
          <w:p w14:paraId="1E39A4B0" w14:textId="1D839BEE" w:rsidR="00A54493" w:rsidRPr="00244C6F" w:rsidRDefault="00444359" w:rsidP="002E641C">
            <w:pPr>
              <w:pStyle w:val="Sraopastraipa"/>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Apeliacinės instancijos teismas </w:t>
            </w:r>
            <w:r w:rsidR="00082256" w:rsidRPr="00244C6F">
              <w:rPr>
                <w:rFonts w:ascii="Calibri" w:hAnsi="Calibri" w:cs="Calibri"/>
              </w:rPr>
              <w:t>nustatė</w:t>
            </w:r>
            <w:r w:rsidRPr="00244C6F">
              <w:rPr>
                <w:rFonts w:ascii="Calibri" w:hAnsi="Calibri" w:cs="Calibri"/>
              </w:rPr>
              <w:t xml:space="preserve">, kad nagrinėjamoje byloje žala </w:t>
            </w:r>
            <w:r w:rsidR="00082256" w:rsidRPr="00244C6F">
              <w:rPr>
                <w:rFonts w:ascii="Calibri" w:hAnsi="Calibri" w:cs="Calibri"/>
              </w:rPr>
              <w:t xml:space="preserve">kilo dėl </w:t>
            </w:r>
            <w:r w:rsidRPr="00244C6F">
              <w:rPr>
                <w:rFonts w:ascii="Calibri" w:hAnsi="Calibri" w:cs="Calibri"/>
              </w:rPr>
              <w:t>ikiteisminio tyrimo pareigūno, prokuroro</w:t>
            </w:r>
            <w:r w:rsidR="00082256" w:rsidRPr="00244C6F">
              <w:rPr>
                <w:rFonts w:ascii="Calibri" w:hAnsi="Calibri" w:cs="Calibri"/>
              </w:rPr>
              <w:t xml:space="preserve"> ir</w:t>
            </w:r>
            <w:r w:rsidRPr="00244C6F">
              <w:rPr>
                <w:rFonts w:ascii="Calibri" w:hAnsi="Calibri" w:cs="Calibri"/>
              </w:rPr>
              <w:t xml:space="preserve"> teismo veiksm</w:t>
            </w:r>
            <w:r w:rsidR="00082256" w:rsidRPr="00244C6F">
              <w:rPr>
                <w:rFonts w:ascii="Calibri" w:hAnsi="Calibri" w:cs="Calibri"/>
              </w:rPr>
              <w:t>ų</w:t>
            </w:r>
            <w:r w:rsidRPr="00244C6F">
              <w:rPr>
                <w:rFonts w:ascii="Calibri" w:hAnsi="Calibri" w:cs="Calibri"/>
              </w:rPr>
              <w:t xml:space="preserve">, kurie, nors formaliai ir atitiko baudžiamojo proceso normas, </w:t>
            </w:r>
            <w:r w:rsidR="000C4CBC" w:rsidRPr="00244C6F">
              <w:rPr>
                <w:rFonts w:ascii="Calibri" w:hAnsi="Calibri" w:cs="Calibri"/>
              </w:rPr>
              <w:t xml:space="preserve">pažeidė bendrąsias pareigūnų rūpestingumo ir atidumo pareigas, nes </w:t>
            </w:r>
            <w:r w:rsidRPr="00244C6F">
              <w:rPr>
                <w:rFonts w:ascii="Calibri" w:hAnsi="Calibri" w:cs="Calibri"/>
              </w:rPr>
              <w:t xml:space="preserve">ieškovei neteisėtai paskyrus kardomąją priemonę, </w:t>
            </w:r>
            <w:r w:rsidR="000C4CBC" w:rsidRPr="00244C6F">
              <w:rPr>
                <w:rFonts w:ascii="Calibri" w:hAnsi="Calibri" w:cs="Calibri"/>
              </w:rPr>
              <w:t xml:space="preserve">o </w:t>
            </w:r>
            <w:r w:rsidRPr="00244C6F">
              <w:rPr>
                <w:rFonts w:ascii="Calibri" w:hAnsi="Calibri" w:cs="Calibri"/>
              </w:rPr>
              <w:t xml:space="preserve">prokurorei </w:t>
            </w:r>
            <w:r w:rsidR="00082256" w:rsidRPr="00244C6F">
              <w:rPr>
                <w:rFonts w:ascii="Calibri" w:hAnsi="Calibri" w:cs="Calibri"/>
              </w:rPr>
              <w:t>jos</w:t>
            </w:r>
            <w:r w:rsidRPr="00244C6F">
              <w:rPr>
                <w:rFonts w:ascii="Calibri" w:hAnsi="Calibri" w:cs="Calibri"/>
              </w:rPr>
              <w:t xml:space="preserve"> nepanaikinus</w:t>
            </w:r>
            <w:r w:rsidR="000C4CBC" w:rsidRPr="00244C6F">
              <w:rPr>
                <w:rFonts w:ascii="Calibri" w:hAnsi="Calibri" w:cs="Calibri"/>
              </w:rPr>
              <w:t>,</w:t>
            </w:r>
            <w:r w:rsidRPr="00244C6F">
              <w:rPr>
                <w:rFonts w:ascii="Calibri" w:hAnsi="Calibri" w:cs="Calibri"/>
              </w:rPr>
              <w:t xml:space="preserve"> teism</w:t>
            </w:r>
            <w:r w:rsidR="000C4CBC" w:rsidRPr="00244C6F">
              <w:rPr>
                <w:rFonts w:ascii="Calibri" w:hAnsi="Calibri" w:cs="Calibri"/>
              </w:rPr>
              <w:t>as</w:t>
            </w:r>
            <w:r w:rsidRPr="00244C6F">
              <w:rPr>
                <w:rFonts w:ascii="Calibri" w:hAnsi="Calibri" w:cs="Calibri"/>
              </w:rPr>
              <w:t xml:space="preserve"> nutartimi skyr</w:t>
            </w:r>
            <w:r w:rsidR="000C4CBC" w:rsidRPr="00244C6F">
              <w:rPr>
                <w:rFonts w:ascii="Calibri" w:hAnsi="Calibri" w:cs="Calibri"/>
              </w:rPr>
              <w:t xml:space="preserve">ė </w:t>
            </w:r>
            <w:r w:rsidRPr="00244C6F">
              <w:rPr>
                <w:rFonts w:ascii="Calibri" w:hAnsi="Calibri" w:cs="Calibri"/>
              </w:rPr>
              <w:t>neproporcingą kardomąją priemonę.</w:t>
            </w:r>
            <w:r w:rsidR="001F4314" w:rsidRPr="00244C6F">
              <w:rPr>
                <w:rStyle w:val="Puslapioinaosnuoroda"/>
                <w:rFonts w:ascii="Calibri" w:hAnsi="Calibri" w:cs="Calibri"/>
              </w:rPr>
              <w:footnoteReference w:id="8"/>
            </w:r>
          </w:p>
        </w:tc>
      </w:tr>
      <w:tr w:rsidR="00C54732" w:rsidRPr="00244C6F" w14:paraId="6D89B5F8" w14:textId="77777777" w:rsidTr="009E1AB6">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211" w:type="dxa"/>
            <w:vMerge w:val="restart"/>
            <w:tcBorders>
              <w:right w:val="nil"/>
            </w:tcBorders>
            <w:vAlign w:val="center"/>
          </w:tcPr>
          <w:p w14:paraId="165A8A58" w14:textId="77777777" w:rsidR="002A0985" w:rsidRPr="00244C6F" w:rsidRDefault="002A0985" w:rsidP="005E6E3F">
            <w:pPr>
              <w:rPr>
                <w:rFonts w:ascii="Calibri" w:hAnsi="Calibri" w:cs="Calibri"/>
                <w:b w:val="0"/>
                <w:bCs w:val="0"/>
              </w:rPr>
            </w:pPr>
          </w:p>
          <w:p w14:paraId="587B2EAC" w14:textId="502DB53C" w:rsidR="00C54732" w:rsidRPr="00244C6F" w:rsidRDefault="0038586F" w:rsidP="005E6E3F">
            <w:pPr>
              <w:rPr>
                <w:rFonts w:ascii="Calibri" w:hAnsi="Calibri" w:cs="Calibri"/>
                <w:b w:val="0"/>
                <w:bCs w:val="0"/>
              </w:rPr>
            </w:pPr>
            <w:r w:rsidRPr="00244C6F">
              <w:rPr>
                <w:rFonts w:ascii="Calibri" w:hAnsi="Calibri" w:cs="Calibri"/>
              </w:rPr>
              <w:t>Neteisėtai pritaikytas laikinas sulaikymas</w:t>
            </w:r>
          </w:p>
          <w:p w14:paraId="1668CA63" w14:textId="77777777" w:rsidR="00C8148C" w:rsidRPr="00244C6F" w:rsidRDefault="00C8148C" w:rsidP="005E6E3F">
            <w:pPr>
              <w:rPr>
                <w:rFonts w:ascii="Calibri" w:hAnsi="Calibri" w:cs="Calibri"/>
                <w:b w:val="0"/>
                <w:bCs w:val="0"/>
              </w:rPr>
            </w:pPr>
          </w:p>
          <w:p w14:paraId="17D07DCB" w14:textId="77777777" w:rsidR="00C0778C" w:rsidRPr="00244C6F" w:rsidRDefault="00C0778C" w:rsidP="005E6E3F">
            <w:pPr>
              <w:rPr>
                <w:rFonts w:ascii="Calibri" w:hAnsi="Calibri" w:cs="Calibri"/>
                <w:b w:val="0"/>
                <w:bCs w:val="0"/>
              </w:rPr>
            </w:pPr>
          </w:p>
          <w:p w14:paraId="79978D27" w14:textId="77777777" w:rsidR="00C0778C" w:rsidRPr="00244C6F" w:rsidRDefault="00C0778C" w:rsidP="005E6E3F">
            <w:pPr>
              <w:rPr>
                <w:rFonts w:ascii="Calibri" w:hAnsi="Calibri" w:cs="Calibri"/>
              </w:rPr>
            </w:pPr>
          </w:p>
          <w:p w14:paraId="4FBEC256" w14:textId="77777777" w:rsidR="00183C7B" w:rsidRPr="00244C6F" w:rsidRDefault="00183C7B" w:rsidP="005E6E3F">
            <w:pPr>
              <w:rPr>
                <w:rFonts w:ascii="Calibri" w:hAnsi="Calibri" w:cs="Calibri"/>
                <w:b w:val="0"/>
                <w:bCs w:val="0"/>
              </w:rPr>
            </w:pPr>
          </w:p>
          <w:p w14:paraId="715B9173" w14:textId="3500C523" w:rsidR="00C8148C" w:rsidRPr="00244C6F" w:rsidRDefault="00DA43B8" w:rsidP="005E6E3F">
            <w:pPr>
              <w:rPr>
                <w:rFonts w:ascii="Calibri" w:hAnsi="Calibri" w:cs="Calibri"/>
              </w:rPr>
            </w:pPr>
            <w:r w:rsidRPr="00244C6F">
              <w:rPr>
                <w:rFonts w:ascii="Calibri" w:hAnsi="Calibri" w:cs="Calibri"/>
              </w:rPr>
              <w:t xml:space="preserve">Neteisingai teisiškai įvertintos faktinės </w:t>
            </w:r>
            <w:r w:rsidRPr="00244C6F">
              <w:rPr>
                <w:rFonts w:ascii="Calibri" w:hAnsi="Calibri" w:cs="Calibri"/>
              </w:rPr>
              <w:lastRenderedPageBreak/>
              <w:t>aplinkybės bei netinkamai pritaikytas baudžiamasis įstatymas</w:t>
            </w:r>
          </w:p>
          <w:p w14:paraId="3A9445EF" w14:textId="77777777" w:rsidR="00C8148C" w:rsidRPr="00244C6F" w:rsidRDefault="00C8148C" w:rsidP="005E6E3F">
            <w:pPr>
              <w:rPr>
                <w:rFonts w:ascii="Calibri" w:hAnsi="Calibri" w:cs="Calibri"/>
                <w:b w:val="0"/>
                <w:bCs w:val="0"/>
              </w:rPr>
            </w:pPr>
          </w:p>
          <w:p w14:paraId="2F3FA7F5" w14:textId="77777777" w:rsidR="00C8148C" w:rsidRPr="00244C6F" w:rsidRDefault="00C8148C" w:rsidP="005E6E3F">
            <w:pPr>
              <w:rPr>
                <w:rFonts w:ascii="Calibri" w:hAnsi="Calibri" w:cs="Calibri"/>
              </w:rPr>
            </w:pPr>
          </w:p>
          <w:p w14:paraId="5DD43C37" w14:textId="77777777" w:rsidR="00E83127" w:rsidRPr="00244C6F" w:rsidRDefault="00E83127" w:rsidP="005E6E3F">
            <w:pPr>
              <w:rPr>
                <w:rFonts w:ascii="Calibri" w:hAnsi="Calibri" w:cs="Calibri"/>
                <w:b w:val="0"/>
                <w:bCs w:val="0"/>
              </w:rPr>
            </w:pPr>
          </w:p>
          <w:p w14:paraId="65F2CFBE" w14:textId="77777777" w:rsidR="0038586F" w:rsidRPr="00244C6F" w:rsidRDefault="0038586F" w:rsidP="005E6E3F">
            <w:pPr>
              <w:rPr>
                <w:rFonts w:ascii="Calibri" w:hAnsi="Calibri" w:cs="Calibri"/>
                <w:b w:val="0"/>
                <w:bCs w:val="0"/>
              </w:rPr>
            </w:pPr>
          </w:p>
          <w:p w14:paraId="4AC9BEE1" w14:textId="77777777" w:rsidR="00C0778C" w:rsidRPr="00244C6F" w:rsidRDefault="00C0778C" w:rsidP="005E6E3F">
            <w:pPr>
              <w:rPr>
                <w:rFonts w:ascii="Calibri" w:hAnsi="Calibri" w:cs="Calibri"/>
              </w:rPr>
            </w:pPr>
          </w:p>
          <w:p w14:paraId="4579AD72" w14:textId="77777777" w:rsidR="006B723A" w:rsidRPr="00244C6F" w:rsidRDefault="006B723A" w:rsidP="005E6E3F">
            <w:pPr>
              <w:rPr>
                <w:rFonts w:ascii="Calibri" w:hAnsi="Calibri" w:cs="Calibri"/>
                <w:b w:val="0"/>
                <w:bCs w:val="0"/>
              </w:rPr>
            </w:pPr>
          </w:p>
          <w:p w14:paraId="7689AEBD" w14:textId="6FB37820" w:rsidR="00C8148C" w:rsidRPr="00244C6F" w:rsidRDefault="00793DD4" w:rsidP="005E6E3F">
            <w:pPr>
              <w:rPr>
                <w:rFonts w:ascii="Calibri" w:hAnsi="Calibri" w:cs="Calibri"/>
              </w:rPr>
            </w:pPr>
            <w:r w:rsidRPr="00244C6F">
              <w:rPr>
                <w:rFonts w:ascii="Calibri" w:hAnsi="Calibri" w:cs="Calibri"/>
              </w:rPr>
              <w:t xml:space="preserve">Netinkamai pritaikytos teisės normos, reglamentuojančios </w:t>
            </w:r>
            <w:r w:rsidR="004C3358" w:rsidRPr="00244C6F">
              <w:rPr>
                <w:rFonts w:ascii="Calibri" w:hAnsi="Calibri" w:cs="Calibri"/>
              </w:rPr>
              <w:t>daiktų, reikšmingų ikiteisminiam tyrimui, saugojimą</w:t>
            </w:r>
          </w:p>
          <w:p w14:paraId="7199A849" w14:textId="77777777" w:rsidR="004F42D0" w:rsidRPr="00244C6F" w:rsidRDefault="004F42D0" w:rsidP="005E6E3F">
            <w:pPr>
              <w:rPr>
                <w:rFonts w:ascii="Calibri" w:hAnsi="Calibri" w:cs="Calibri"/>
                <w:b w:val="0"/>
                <w:bCs w:val="0"/>
              </w:rPr>
            </w:pPr>
          </w:p>
          <w:p w14:paraId="4DE5292E" w14:textId="77777777" w:rsidR="00C0778C" w:rsidRPr="00244C6F" w:rsidRDefault="00C0778C" w:rsidP="005E6E3F">
            <w:pPr>
              <w:rPr>
                <w:rFonts w:ascii="Calibri" w:hAnsi="Calibri" w:cs="Calibri"/>
                <w:b w:val="0"/>
                <w:bCs w:val="0"/>
              </w:rPr>
            </w:pPr>
          </w:p>
          <w:p w14:paraId="4E60CDA5" w14:textId="77777777" w:rsidR="00C0778C" w:rsidRPr="00244C6F" w:rsidRDefault="00C0778C" w:rsidP="005E6E3F">
            <w:pPr>
              <w:rPr>
                <w:rFonts w:ascii="Calibri" w:hAnsi="Calibri" w:cs="Calibri"/>
                <w:b w:val="0"/>
                <w:bCs w:val="0"/>
              </w:rPr>
            </w:pPr>
          </w:p>
          <w:p w14:paraId="77EBC832" w14:textId="3D49CB54" w:rsidR="004F42D0" w:rsidRPr="00244C6F" w:rsidRDefault="00A60A15" w:rsidP="005E6E3F">
            <w:pPr>
              <w:rPr>
                <w:rFonts w:ascii="Calibri" w:hAnsi="Calibri" w:cs="Calibri"/>
              </w:rPr>
            </w:pPr>
            <w:r w:rsidRPr="00244C6F">
              <w:rPr>
                <w:rFonts w:ascii="Calibri" w:hAnsi="Calibri" w:cs="Calibri"/>
              </w:rPr>
              <w:t>C</w:t>
            </w:r>
            <w:r w:rsidR="00DE4353" w:rsidRPr="00244C6F">
              <w:rPr>
                <w:rFonts w:ascii="Calibri" w:hAnsi="Calibri" w:cs="Calibri"/>
              </w:rPr>
              <w:t xml:space="preserve">iviliniai teisiniai santykiai </w:t>
            </w:r>
            <w:r w:rsidRPr="00244C6F">
              <w:rPr>
                <w:rFonts w:ascii="Calibri" w:hAnsi="Calibri" w:cs="Calibri"/>
              </w:rPr>
              <w:t xml:space="preserve">nepagrįstai </w:t>
            </w:r>
            <w:r w:rsidR="00DE4353" w:rsidRPr="00244C6F">
              <w:rPr>
                <w:rFonts w:ascii="Calibri" w:hAnsi="Calibri" w:cs="Calibri"/>
              </w:rPr>
              <w:t xml:space="preserve">kvalifikuoti kaip </w:t>
            </w:r>
            <w:r w:rsidR="00A675AB" w:rsidRPr="00244C6F">
              <w:rPr>
                <w:rFonts w:ascii="Calibri" w:hAnsi="Calibri" w:cs="Calibri"/>
              </w:rPr>
              <w:t>nusikalstama veika</w:t>
            </w:r>
          </w:p>
          <w:p w14:paraId="6FA6CEDB" w14:textId="77777777" w:rsidR="004F42D0" w:rsidRPr="00244C6F" w:rsidRDefault="004F42D0" w:rsidP="005E6E3F">
            <w:pPr>
              <w:rPr>
                <w:rFonts w:ascii="Calibri" w:hAnsi="Calibri" w:cs="Calibri"/>
                <w:b w:val="0"/>
                <w:bCs w:val="0"/>
              </w:rPr>
            </w:pPr>
          </w:p>
          <w:p w14:paraId="46AF7A85" w14:textId="77777777" w:rsidR="004F42D0" w:rsidRPr="00244C6F" w:rsidRDefault="004F42D0" w:rsidP="005E6E3F">
            <w:pPr>
              <w:rPr>
                <w:rFonts w:ascii="Calibri" w:hAnsi="Calibri" w:cs="Calibri"/>
                <w:b w:val="0"/>
                <w:bCs w:val="0"/>
              </w:rPr>
            </w:pPr>
          </w:p>
          <w:p w14:paraId="00985F59" w14:textId="77777777" w:rsidR="00C0778C" w:rsidRPr="00244C6F" w:rsidRDefault="00C0778C" w:rsidP="005E6E3F">
            <w:pPr>
              <w:rPr>
                <w:rFonts w:ascii="Calibri" w:hAnsi="Calibri" w:cs="Calibri"/>
                <w:b w:val="0"/>
                <w:bCs w:val="0"/>
              </w:rPr>
            </w:pPr>
          </w:p>
          <w:p w14:paraId="28D0A675" w14:textId="77777777" w:rsidR="00C0778C" w:rsidRPr="00244C6F" w:rsidRDefault="00C0778C" w:rsidP="005E6E3F">
            <w:pPr>
              <w:rPr>
                <w:rFonts w:ascii="Calibri" w:hAnsi="Calibri" w:cs="Calibri"/>
                <w:b w:val="0"/>
                <w:bCs w:val="0"/>
              </w:rPr>
            </w:pPr>
          </w:p>
          <w:p w14:paraId="141010D5" w14:textId="708E9400" w:rsidR="004F42D0" w:rsidRPr="00244C6F" w:rsidRDefault="006F39F0" w:rsidP="005E6E3F">
            <w:pPr>
              <w:rPr>
                <w:rFonts w:ascii="Calibri" w:hAnsi="Calibri" w:cs="Calibri"/>
              </w:rPr>
            </w:pPr>
            <w:r w:rsidRPr="00244C6F">
              <w:rPr>
                <w:rFonts w:ascii="Calibri" w:hAnsi="Calibri" w:cs="Calibri"/>
              </w:rPr>
              <w:t xml:space="preserve">Asmuo apklaustas apie galimai </w:t>
            </w:r>
            <w:r w:rsidR="00A54A1E" w:rsidRPr="00244C6F">
              <w:rPr>
                <w:rFonts w:ascii="Calibri" w:hAnsi="Calibri" w:cs="Calibri"/>
              </w:rPr>
              <w:t>jo padarytą nusikalstamą veiką nesuteikus</w:t>
            </w:r>
            <w:r w:rsidR="00855A6C" w:rsidRPr="00244C6F">
              <w:rPr>
                <w:rFonts w:ascii="Calibri" w:hAnsi="Calibri" w:cs="Calibri"/>
              </w:rPr>
              <w:t xml:space="preserve"> jam</w:t>
            </w:r>
            <w:r w:rsidR="00A54A1E" w:rsidRPr="00244C6F">
              <w:rPr>
                <w:rFonts w:ascii="Calibri" w:hAnsi="Calibri" w:cs="Calibri"/>
              </w:rPr>
              <w:t xml:space="preserve"> specialaus liudytojo statuso</w:t>
            </w:r>
          </w:p>
          <w:p w14:paraId="58F2752E" w14:textId="77777777" w:rsidR="002E4ED6" w:rsidRPr="00244C6F" w:rsidRDefault="002E4ED6" w:rsidP="005E6E3F">
            <w:pPr>
              <w:rPr>
                <w:rFonts w:ascii="Calibri" w:hAnsi="Calibri" w:cs="Calibri"/>
              </w:rPr>
            </w:pPr>
          </w:p>
          <w:p w14:paraId="78914E9B" w14:textId="77777777" w:rsidR="00183C7B" w:rsidRPr="00244C6F" w:rsidRDefault="00183C7B" w:rsidP="005E6E3F">
            <w:pPr>
              <w:rPr>
                <w:rFonts w:ascii="Calibri" w:hAnsi="Calibri" w:cs="Calibri"/>
                <w:b w:val="0"/>
                <w:bCs w:val="0"/>
              </w:rPr>
            </w:pPr>
          </w:p>
          <w:p w14:paraId="41896595" w14:textId="530A3C3E" w:rsidR="004F42D0" w:rsidRPr="00244C6F" w:rsidRDefault="003E5010" w:rsidP="005E6E3F">
            <w:pPr>
              <w:rPr>
                <w:rFonts w:ascii="Calibri" w:hAnsi="Calibri" w:cs="Calibri"/>
              </w:rPr>
            </w:pPr>
            <w:r w:rsidRPr="00244C6F">
              <w:rPr>
                <w:rFonts w:ascii="Calibri" w:hAnsi="Calibri" w:cs="Calibri"/>
              </w:rPr>
              <w:t>Ikiteisminio tyrimo įstaiga neatliko visų</w:t>
            </w:r>
            <w:r w:rsidR="00B84C4B" w:rsidRPr="00244C6F">
              <w:rPr>
                <w:rFonts w:ascii="Calibri" w:hAnsi="Calibri" w:cs="Calibri"/>
              </w:rPr>
              <w:t xml:space="preserve"> būtinų veiksmų, </w:t>
            </w:r>
            <w:r w:rsidR="00C809C3" w:rsidRPr="00244C6F">
              <w:rPr>
                <w:rFonts w:ascii="Calibri" w:hAnsi="Calibri" w:cs="Calibri"/>
              </w:rPr>
              <w:lastRenderedPageBreak/>
              <w:t xml:space="preserve">kuriais </w:t>
            </w:r>
            <w:r w:rsidR="00B84C4B" w:rsidRPr="00244C6F">
              <w:rPr>
                <w:rFonts w:ascii="Calibri" w:hAnsi="Calibri" w:cs="Calibri"/>
              </w:rPr>
              <w:t>siekia</w:t>
            </w:r>
            <w:r w:rsidR="00C809C3" w:rsidRPr="00244C6F">
              <w:rPr>
                <w:rFonts w:ascii="Calibri" w:hAnsi="Calibri" w:cs="Calibri"/>
              </w:rPr>
              <w:t xml:space="preserve">ma </w:t>
            </w:r>
            <w:r w:rsidR="00B84C4B" w:rsidRPr="00244C6F">
              <w:rPr>
                <w:rFonts w:ascii="Calibri" w:hAnsi="Calibri" w:cs="Calibri"/>
              </w:rPr>
              <w:t>atskleisti paže</w:t>
            </w:r>
            <w:r w:rsidR="00691656" w:rsidRPr="00244C6F">
              <w:rPr>
                <w:rFonts w:ascii="Calibri" w:hAnsi="Calibri" w:cs="Calibri"/>
              </w:rPr>
              <w:t>idimo (ne)atlikimą</w:t>
            </w:r>
          </w:p>
          <w:p w14:paraId="6FED5831" w14:textId="77777777" w:rsidR="004F42D0" w:rsidRPr="00244C6F" w:rsidRDefault="004F42D0" w:rsidP="005E6E3F">
            <w:pPr>
              <w:rPr>
                <w:rFonts w:ascii="Calibri" w:hAnsi="Calibri" w:cs="Calibri"/>
              </w:rPr>
            </w:pPr>
          </w:p>
          <w:p w14:paraId="7B1FDF10" w14:textId="1B690348" w:rsidR="004F42D0" w:rsidRPr="00244C6F" w:rsidRDefault="004F42D0" w:rsidP="005E6E3F">
            <w:pPr>
              <w:rPr>
                <w:rFonts w:ascii="Calibri" w:hAnsi="Calibri" w:cs="Calibri"/>
                <w:b w:val="0"/>
                <w:bCs w:val="0"/>
              </w:rPr>
            </w:pPr>
            <w:r w:rsidRPr="00244C6F">
              <w:rPr>
                <w:rFonts w:ascii="Calibri" w:hAnsi="Calibri" w:cs="Calibri"/>
              </w:rPr>
              <w:t>Ne</w:t>
            </w:r>
            <w:r w:rsidR="00186396" w:rsidRPr="00244C6F">
              <w:rPr>
                <w:rFonts w:ascii="Calibri" w:hAnsi="Calibri" w:cs="Calibri"/>
              </w:rPr>
              <w:t xml:space="preserve">proporcingai taikyta procesinė prievartos priemonė ir </w:t>
            </w:r>
            <w:r w:rsidR="001E5364" w:rsidRPr="00244C6F">
              <w:rPr>
                <w:rFonts w:ascii="Calibri" w:hAnsi="Calibri" w:cs="Calibri"/>
              </w:rPr>
              <w:t>kriminalinės žvalgybos veiksmai</w:t>
            </w:r>
          </w:p>
          <w:p w14:paraId="65D92F54" w14:textId="77777777" w:rsidR="002E4ED6" w:rsidRPr="00244C6F" w:rsidRDefault="002E4ED6" w:rsidP="005E6E3F">
            <w:pPr>
              <w:rPr>
                <w:rFonts w:ascii="Calibri" w:hAnsi="Calibri" w:cs="Calibri"/>
                <w:b w:val="0"/>
                <w:bCs w:val="0"/>
              </w:rPr>
            </w:pPr>
          </w:p>
          <w:p w14:paraId="2053B18D" w14:textId="77777777" w:rsidR="00C0778C" w:rsidRPr="00244C6F" w:rsidRDefault="00C0778C" w:rsidP="005E6E3F">
            <w:pPr>
              <w:rPr>
                <w:rFonts w:ascii="Calibri" w:hAnsi="Calibri" w:cs="Calibri"/>
              </w:rPr>
            </w:pPr>
          </w:p>
          <w:p w14:paraId="421BCB76" w14:textId="77777777" w:rsidR="00183C7B" w:rsidRPr="00244C6F" w:rsidRDefault="00183C7B" w:rsidP="005E6E3F">
            <w:pPr>
              <w:rPr>
                <w:rFonts w:ascii="Calibri" w:hAnsi="Calibri" w:cs="Calibri"/>
                <w:b w:val="0"/>
                <w:bCs w:val="0"/>
              </w:rPr>
            </w:pPr>
          </w:p>
          <w:p w14:paraId="11BAF259" w14:textId="6DA62340" w:rsidR="004F42D0" w:rsidRPr="00244C6F" w:rsidRDefault="00834E65" w:rsidP="005E6E3F">
            <w:pPr>
              <w:rPr>
                <w:rFonts w:ascii="Calibri" w:hAnsi="Calibri" w:cs="Calibri"/>
              </w:rPr>
            </w:pPr>
            <w:r w:rsidRPr="00244C6F">
              <w:rPr>
                <w:rFonts w:ascii="Calibri" w:hAnsi="Calibri" w:cs="Calibri"/>
              </w:rPr>
              <w:t xml:space="preserve">Neužtikrinta, kad </w:t>
            </w:r>
            <w:r w:rsidR="009451AF" w:rsidRPr="00244C6F">
              <w:rPr>
                <w:rFonts w:ascii="Calibri" w:hAnsi="Calibri" w:cs="Calibri"/>
              </w:rPr>
              <w:t>pareigas eitų tinkam</w:t>
            </w:r>
            <w:r w:rsidR="00C809C3" w:rsidRPr="00244C6F">
              <w:rPr>
                <w:rFonts w:ascii="Calibri" w:hAnsi="Calibri" w:cs="Calibri"/>
              </w:rPr>
              <w:t>omi</w:t>
            </w:r>
            <w:r w:rsidR="009451AF" w:rsidRPr="00244C6F">
              <w:rPr>
                <w:rFonts w:ascii="Calibri" w:hAnsi="Calibri" w:cs="Calibri"/>
              </w:rPr>
              <w:t>s savyb</w:t>
            </w:r>
            <w:r w:rsidR="00C809C3" w:rsidRPr="00244C6F">
              <w:rPr>
                <w:rFonts w:ascii="Calibri" w:hAnsi="Calibri" w:cs="Calibri"/>
              </w:rPr>
              <w:t>ėmi</w:t>
            </w:r>
            <w:r w:rsidR="009451AF" w:rsidRPr="00244C6F">
              <w:rPr>
                <w:rFonts w:ascii="Calibri" w:hAnsi="Calibri" w:cs="Calibri"/>
              </w:rPr>
              <w:t xml:space="preserve">s </w:t>
            </w:r>
            <w:r w:rsidR="00C809C3" w:rsidRPr="00244C6F">
              <w:rPr>
                <w:rFonts w:ascii="Calibri" w:hAnsi="Calibri" w:cs="Calibri"/>
              </w:rPr>
              <w:t xml:space="preserve">pasižymintys </w:t>
            </w:r>
            <w:r w:rsidR="009451AF" w:rsidRPr="00244C6F">
              <w:rPr>
                <w:rFonts w:ascii="Calibri" w:hAnsi="Calibri" w:cs="Calibri"/>
              </w:rPr>
              <w:t>asmenys</w:t>
            </w:r>
          </w:p>
          <w:p w14:paraId="37C4C127" w14:textId="77777777" w:rsidR="0022254B" w:rsidRPr="00244C6F" w:rsidRDefault="0022254B" w:rsidP="005E6E3F">
            <w:pPr>
              <w:rPr>
                <w:rFonts w:ascii="Calibri" w:hAnsi="Calibri" w:cs="Calibri"/>
              </w:rPr>
            </w:pPr>
          </w:p>
          <w:p w14:paraId="5E3554FA" w14:textId="281F943C" w:rsidR="0022254B" w:rsidRPr="00244C6F" w:rsidRDefault="0022254B" w:rsidP="0022254B">
            <w:pPr>
              <w:rPr>
                <w:rFonts w:ascii="Calibri" w:hAnsi="Calibri" w:cs="Calibri"/>
              </w:rPr>
            </w:pPr>
            <w:r w:rsidRPr="00244C6F">
              <w:rPr>
                <w:rFonts w:ascii="Calibri" w:hAnsi="Calibri" w:cs="Calibri"/>
              </w:rPr>
              <w:t xml:space="preserve">Netinkamas proceso organizavimas, </w:t>
            </w:r>
            <w:r w:rsidR="00BC0190" w:rsidRPr="00244C6F">
              <w:rPr>
                <w:rFonts w:ascii="Calibri" w:hAnsi="Calibri" w:cs="Calibri"/>
              </w:rPr>
              <w:t xml:space="preserve">kuris </w:t>
            </w:r>
            <w:r w:rsidRPr="00244C6F">
              <w:rPr>
                <w:rFonts w:ascii="Calibri" w:hAnsi="Calibri" w:cs="Calibri"/>
              </w:rPr>
              <w:t>lėm</w:t>
            </w:r>
            <w:r w:rsidR="00BC0190" w:rsidRPr="00244C6F">
              <w:rPr>
                <w:rFonts w:ascii="Calibri" w:hAnsi="Calibri" w:cs="Calibri"/>
              </w:rPr>
              <w:t>ė</w:t>
            </w:r>
            <w:r w:rsidRPr="00244C6F">
              <w:rPr>
                <w:rFonts w:ascii="Calibri" w:hAnsi="Calibri" w:cs="Calibri"/>
              </w:rPr>
              <w:t xml:space="preserve"> per ilgą procesą</w:t>
            </w:r>
          </w:p>
          <w:p w14:paraId="42D4AA8B" w14:textId="77777777" w:rsidR="0022254B" w:rsidRPr="00244C6F" w:rsidRDefault="0022254B" w:rsidP="005E6E3F">
            <w:pPr>
              <w:rPr>
                <w:rFonts w:ascii="Calibri" w:hAnsi="Calibri" w:cs="Calibri"/>
              </w:rPr>
            </w:pPr>
          </w:p>
          <w:p w14:paraId="48577163" w14:textId="77777777" w:rsidR="0022254B" w:rsidRPr="00244C6F" w:rsidRDefault="0022254B" w:rsidP="005E6E3F">
            <w:pPr>
              <w:rPr>
                <w:rFonts w:ascii="Calibri" w:hAnsi="Calibri" w:cs="Calibri"/>
              </w:rPr>
            </w:pPr>
          </w:p>
          <w:p w14:paraId="38F5CBC5" w14:textId="77777777" w:rsidR="0022254B" w:rsidRPr="00244C6F" w:rsidRDefault="0022254B" w:rsidP="005E6E3F">
            <w:pPr>
              <w:rPr>
                <w:rFonts w:ascii="Calibri" w:hAnsi="Calibri" w:cs="Calibri"/>
              </w:rPr>
            </w:pPr>
          </w:p>
          <w:p w14:paraId="6687E3B2" w14:textId="77777777" w:rsidR="0022254B" w:rsidRPr="00244C6F" w:rsidRDefault="0022254B" w:rsidP="005E6E3F">
            <w:pPr>
              <w:rPr>
                <w:rFonts w:ascii="Calibri" w:hAnsi="Calibri" w:cs="Calibri"/>
              </w:rPr>
            </w:pPr>
          </w:p>
          <w:p w14:paraId="095430C2" w14:textId="77777777" w:rsidR="0022254B" w:rsidRPr="00244C6F" w:rsidRDefault="0022254B" w:rsidP="005E6E3F">
            <w:pPr>
              <w:rPr>
                <w:rFonts w:ascii="Calibri" w:hAnsi="Calibri" w:cs="Calibri"/>
              </w:rPr>
            </w:pPr>
          </w:p>
          <w:p w14:paraId="6637D66F" w14:textId="77777777" w:rsidR="0022254B" w:rsidRPr="00244C6F" w:rsidRDefault="0022254B" w:rsidP="005E6E3F">
            <w:pPr>
              <w:rPr>
                <w:rFonts w:ascii="Calibri" w:hAnsi="Calibri" w:cs="Calibri"/>
              </w:rPr>
            </w:pPr>
          </w:p>
          <w:p w14:paraId="7BC69AC0" w14:textId="77777777" w:rsidR="0022254B" w:rsidRPr="00244C6F" w:rsidRDefault="0022254B" w:rsidP="005E6E3F">
            <w:pPr>
              <w:rPr>
                <w:rFonts w:ascii="Calibri" w:hAnsi="Calibri" w:cs="Calibri"/>
              </w:rPr>
            </w:pPr>
          </w:p>
          <w:p w14:paraId="62900E20" w14:textId="77777777" w:rsidR="0022254B" w:rsidRPr="00244C6F" w:rsidRDefault="0022254B" w:rsidP="005E6E3F">
            <w:pPr>
              <w:rPr>
                <w:rFonts w:ascii="Calibri" w:hAnsi="Calibri" w:cs="Calibri"/>
              </w:rPr>
            </w:pPr>
          </w:p>
          <w:p w14:paraId="414DD52F" w14:textId="77777777" w:rsidR="0022254B" w:rsidRPr="00244C6F" w:rsidRDefault="0022254B" w:rsidP="005E6E3F">
            <w:pPr>
              <w:rPr>
                <w:rFonts w:ascii="Calibri" w:hAnsi="Calibri" w:cs="Calibri"/>
              </w:rPr>
            </w:pPr>
          </w:p>
          <w:p w14:paraId="0B88203A" w14:textId="77777777" w:rsidR="0022254B" w:rsidRPr="00244C6F" w:rsidRDefault="0022254B" w:rsidP="005E6E3F">
            <w:pPr>
              <w:rPr>
                <w:rFonts w:ascii="Calibri" w:hAnsi="Calibri" w:cs="Calibri"/>
                <w:b w:val="0"/>
                <w:bCs w:val="0"/>
              </w:rPr>
            </w:pPr>
          </w:p>
          <w:p w14:paraId="110FC0FD" w14:textId="77777777" w:rsidR="0022254B" w:rsidRPr="00244C6F" w:rsidRDefault="0022254B" w:rsidP="005E6E3F">
            <w:pPr>
              <w:rPr>
                <w:rFonts w:ascii="Calibri" w:hAnsi="Calibri" w:cs="Calibri"/>
                <w:b w:val="0"/>
                <w:bCs w:val="0"/>
              </w:rPr>
            </w:pPr>
          </w:p>
          <w:p w14:paraId="0CF2B623" w14:textId="77777777" w:rsidR="00B92B36" w:rsidRPr="00244C6F" w:rsidRDefault="00B92B36" w:rsidP="005E6E3F">
            <w:pPr>
              <w:rPr>
                <w:rFonts w:ascii="Calibri" w:hAnsi="Calibri" w:cs="Calibri"/>
                <w:b w:val="0"/>
                <w:bCs w:val="0"/>
              </w:rPr>
            </w:pPr>
          </w:p>
          <w:p w14:paraId="1A7CCFFE" w14:textId="77777777" w:rsidR="00B92B36" w:rsidRPr="00244C6F" w:rsidRDefault="00B92B36" w:rsidP="005E6E3F">
            <w:pPr>
              <w:rPr>
                <w:rFonts w:ascii="Calibri" w:hAnsi="Calibri" w:cs="Calibri"/>
              </w:rPr>
            </w:pPr>
          </w:p>
          <w:p w14:paraId="5DA82D5E" w14:textId="77777777" w:rsidR="00183C7B" w:rsidRPr="00244C6F" w:rsidRDefault="00183C7B" w:rsidP="005E6E3F">
            <w:pPr>
              <w:rPr>
                <w:rFonts w:ascii="Calibri" w:hAnsi="Calibri" w:cs="Calibri"/>
              </w:rPr>
            </w:pPr>
          </w:p>
          <w:p w14:paraId="3912FF93" w14:textId="77777777" w:rsidR="00183C7B" w:rsidRPr="00244C6F" w:rsidRDefault="00183C7B" w:rsidP="005E6E3F">
            <w:pPr>
              <w:rPr>
                <w:rFonts w:ascii="Calibri" w:hAnsi="Calibri" w:cs="Calibri"/>
              </w:rPr>
            </w:pPr>
          </w:p>
          <w:p w14:paraId="04E65F01" w14:textId="611414D6" w:rsidR="00647364" w:rsidRPr="00244C6F" w:rsidRDefault="00011A22" w:rsidP="005E6E3F">
            <w:pPr>
              <w:rPr>
                <w:rFonts w:ascii="Calibri" w:hAnsi="Calibri" w:cs="Calibri"/>
              </w:rPr>
            </w:pPr>
            <w:r w:rsidRPr="00244C6F">
              <w:rPr>
                <w:rFonts w:ascii="Calibri" w:hAnsi="Calibri" w:cs="Calibri"/>
              </w:rPr>
              <w:t xml:space="preserve">Netinkamai pritaikyta </w:t>
            </w:r>
            <w:r w:rsidRPr="00244C6F">
              <w:rPr>
                <w:rFonts w:ascii="Calibri" w:hAnsi="Calibri" w:cs="Calibri"/>
              </w:rPr>
              <w:lastRenderedPageBreak/>
              <w:t>administracinio poveikio priemonė</w:t>
            </w:r>
          </w:p>
          <w:p w14:paraId="15A22413" w14:textId="77777777" w:rsidR="00C8148C" w:rsidRPr="00244C6F" w:rsidRDefault="00C8148C" w:rsidP="005E6E3F">
            <w:pPr>
              <w:rPr>
                <w:rFonts w:ascii="Calibri" w:hAnsi="Calibri" w:cs="Calibri"/>
                <w:b w:val="0"/>
                <w:bCs w:val="0"/>
              </w:rPr>
            </w:pPr>
          </w:p>
          <w:p w14:paraId="4A43683B" w14:textId="77777777" w:rsidR="00C8148C" w:rsidRPr="00244C6F" w:rsidRDefault="00C8148C" w:rsidP="005E6E3F">
            <w:pPr>
              <w:rPr>
                <w:rFonts w:ascii="Calibri" w:hAnsi="Calibri" w:cs="Calibri"/>
              </w:rPr>
            </w:pPr>
          </w:p>
          <w:p w14:paraId="194C17A0" w14:textId="77777777" w:rsidR="005A3C51" w:rsidRPr="00244C6F" w:rsidRDefault="005A3C51" w:rsidP="005E6E3F">
            <w:pPr>
              <w:rPr>
                <w:rFonts w:ascii="Calibri" w:hAnsi="Calibri" w:cs="Calibri"/>
                <w:b w:val="0"/>
                <w:bCs w:val="0"/>
              </w:rPr>
            </w:pPr>
          </w:p>
          <w:p w14:paraId="6D7F4A2E" w14:textId="77777777" w:rsidR="00C0778C" w:rsidRPr="00244C6F" w:rsidRDefault="00C0778C" w:rsidP="0038586F">
            <w:pPr>
              <w:rPr>
                <w:rFonts w:ascii="Calibri" w:hAnsi="Calibri" w:cs="Calibri"/>
                <w:b w:val="0"/>
                <w:bCs w:val="0"/>
              </w:rPr>
            </w:pPr>
          </w:p>
          <w:p w14:paraId="0583DE89" w14:textId="77777777" w:rsidR="00B002A2" w:rsidRPr="00244C6F" w:rsidRDefault="00B002A2" w:rsidP="0038586F">
            <w:pPr>
              <w:rPr>
                <w:rFonts w:ascii="Calibri" w:hAnsi="Calibri" w:cs="Calibri"/>
                <w:b w:val="0"/>
                <w:bCs w:val="0"/>
              </w:rPr>
            </w:pPr>
          </w:p>
          <w:p w14:paraId="3CD7D0FF" w14:textId="5E869291" w:rsidR="0038586F" w:rsidRPr="00244C6F" w:rsidRDefault="0038586F" w:rsidP="0038586F">
            <w:pPr>
              <w:rPr>
                <w:rFonts w:ascii="Calibri" w:hAnsi="Calibri" w:cs="Calibri"/>
              </w:rPr>
            </w:pPr>
            <w:r w:rsidRPr="00244C6F">
              <w:rPr>
                <w:rFonts w:ascii="Calibri" w:hAnsi="Calibri" w:cs="Calibri"/>
              </w:rPr>
              <w:t xml:space="preserve">Ikiteisminio tyrimo įstaiga neatliko visų būtinų veiksmų, </w:t>
            </w:r>
            <w:r w:rsidR="00720037" w:rsidRPr="00244C6F">
              <w:rPr>
                <w:rFonts w:ascii="Calibri" w:hAnsi="Calibri" w:cs="Calibri"/>
              </w:rPr>
              <w:t xml:space="preserve">kuriais </w:t>
            </w:r>
            <w:r w:rsidRPr="00244C6F">
              <w:rPr>
                <w:rFonts w:ascii="Calibri" w:hAnsi="Calibri" w:cs="Calibri"/>
              </w:rPr>
              <w:t>sieki</w:t>
            </w:r>
            <w:r w:rsidR="00720037" w:rsidRPr="00244C6F">
              <w:rPr>
                <w:rFonts w:ascii="Calibri" w:hAnsi="Calibri" w:cs="Calibri"/>
              </w:rPr>
              <w:t>ama</w:t>
            </w:r>
            <w:r w:rsidRPr="00244C6F">
              <w:rPr>
                <w:rFonts w:ascii="Calibri" w:hAnsi="Calibri" w:cs="Calibri"/>
              </w:rPr>
              <w:t xml:space="preserve"> atskleisti pažeidimo (ne)atlikimą</w:t>
            </w:r>
          </w:p>
          <w:p w14:paraId="63342D1F" w14:textId="77777777" w:rsidR="0038586F" w:rsidRPr="00244C6F" w:rsidRDefault="0038586F" w:rsidP="005E6E3F">
            <w:pPr>
              <w:rPr>
                <w:rFonts w:ascii="Calibri" w:hAnsi="Calibri" w:cs="Calibri"/>
                <w:b w:val="0"/>
                <w:bCs w:val="0"/>
              </w:rPr>
            </w:pPr>
          </w:p>
          <w:p w14:paraId="574EA803" w14:textId="77777777" w:rsidR="00B002A2" w:rsidRPr="00244C6F" w:rsidRDefault="00B002A2" w:rsidP="005E6E3F">
            <w:pPr>
              <w:rPr>
                <w:rFonts w:ascii="Calibri" w:hAnsi="Calibri" w:cs="Calibri"/>
                <w:b w:val="0"/>
                <w:bCs w:val="0"/>
              </w:rPr>
            </w:pPr>
          </w:p>
          <w:p w14:paraId="5540E09C" w14:textId="6BB1BD88" w:rsidR="00C8148C" w:rsidRPr="00244C6F" w:rsidRDefault="00286D23" w:rsidP="005E6E3F">
            <w:pPr>
              <w:rPr>
                <w:rFonts w:ascii="Calibri" w:hAnsi="Calibri" w:cs="Calibri"/>
              </w:rPr>
            </w:pPr>
            <w:r w:rsidRPr="00244C6F">
              <w:rPr>
                <w:rFonts w:ascii="Calibri" w:hAnsi="Calibri" w:cs="Calibri"/>
              </w:rPr>
              <w:t xml:space="preserve">Neįvykdyta </w:t>
            </w:r>
            <w:r w:rsidR="0080159F" w:rsidRPr="00244C6F">
              <w:rPr>
                <w:rFonts w:ascii="Calibri" w:hAnsi="Calibri" w:cs="Calibri"/>
              </w:rPr>
              <w:t>pareiga tinkamai informuoti suinteresuotus asmenis</w:t>
            </w:r>
            <w:r w:rsidR="00274499" w:rsidRPr="00244C6F">
              <w:rPr>
                <w:rFonts w:ascii="Calibri" w:hAnsi="Calibri" w:cs="Calibri"/>
              </w:rPr>
              <w:t xml:space="preserve"> bei </w:t>
            </w:r>
            <w:r w:rsidR="00EF64A5" w:rsidRPr="00244C6F">
              <w:rPr>
                <w:rFonts w:ascii="Calibri" w:hAnsi="Calibri" w:cs="Calibri"/>
              </w:rPr>
              <w:t>užtikrinti sprendimo priėmimo procedūr</w:t>
            </w:r>
            <w:r w:rsidR="009063D9" w:rsidRPr="00244C6F">
              <w:rPr>
                <w:rFonts w:ascii="Calibri" w:hAnsi="Calibri" w:cs="Calibri"/>
              </w:rPr>
              <w:t>as</w:t>
            </w:r>
          </w:p>
          <w:p w14:paraId="5212B148" w14:textId="77777777" w:rsidR="00C8148C" w:rsidRPr="00244C6F" w:rsidRDefault="00C8148C" w:rsidP="005E6E3F">
            <w:pPr>
              <w:rPr>
                <w:rFonts w:ascii="Calibri" w:hAnsi="Calibri" w:cs="Calibri"/>
              </w:rPr>
            </w:pPr>
          </w:p>
          <w:p w14:paraId="21415ADA" w14:textId="77777777" w:rsidR="003E2EB3" w:rsidRPr="00244C6F" w:rsidRDefault="003E2EB3" w:rsidP="005E6E3F">
            <w:pPr>
              <w:rPr>
                <w:rFonts w:ascii="Calibri" w:hAnsi="Calibri" w:cs="Calibri"/>
                <w:b w:val="0"/>
                <w:bCs w:val="0"/>
              </w:rPr>
            </w:pPr>
          </w:p>
          <w:p w14:paraId="062C5DC6" w14:textId="77777777" w:rsidR="00C0778C" w:rsidRPr="00244C6F" w:rsidRDefault="00C0778C" w:rsidP="005E6E3F">
            <w:pPr>
              <w:rPr>
                <w:rFonts w:ascii="Calibri" w:hAnsi="Calibri" w:cs="Calibri"/>
              </w:rPr>
            </w:pPr>
          </w:p>
          <w:p w14:paraId="6AB4882F" w14:textId="77777777" w:rsidR="00293699" w:rsidRPr="00244C6F" w:rsidRDefault="00293699" w:rsidP="005E6E3F">
            <w:pPr>
              <w:rPr>
                <w:rFonts w:ascii="Calibri" w:hAnsi="Calibri" w:cs="Calibri"/>
                <w:b w:val="0"/>
                <w:bCs w:val="0"/>
              </w:rPr>
            </w:pPr>
          </w:p>
          <w:p w14:paraId="6B9863A9" w14:textId="77777777" w:rsidR="00C76016" w:rsidRDefault="00C76016" w:rsidP="005E6E3F">
            <w:pPr>
              <w:rPr>
                <w:rFonts w:ascii="Calibri" w:hAnsi="Calibri" w:cs="Calibri"/>
                <w:b w:val="0"/>
                <w:bCs w:val="0"/>
              </w:rPr>
            </w:pPr>
          </w:p>
          <w:p w14:paraId="443AD6F1" w14:textId="6FBE1E2C" w:rsidR="00C8148C" w:rsidRPr="00244C6F" w:rsidRDefault="000F211A" w:rsidP="005E6E3F">
            <w:pPr>
              <w:rPr>
                <w:rFonts w:ascii="Calibri" w:hAnsi="Calibri" w:cs="Calibri"/>
              </w:rPr>
            </w:pPr>
            <w:r w:rsidRPr="00244C6F">
              <w:rPr>
                <w:rFonts w:ascii="Calibri" w:hAnsi="Calibri" w:cs="Calibri"/>
              </w:rPr>
              <w:t>Neteisėtas specialiųjų priemonių panaudojimas</w:t>
            </w:r>
          </w:p>
          <w:p w14:paraId="26114A45" w14:textId="77777777" w:rsidR="00647364" w:rsidRPr="00244C6F" w:rsidRDefault="00647364" w:rsidP="005E6E3F">
            <w:pPr>
              <w:rPr>
                <w:rFonts w:ascii="Calibri" w:hAnsi="Calibri" w:cs="Calibri"/>
              </w:rPr>
            </w:pPr>
          </w:p>
          <w:p w14:paraId="3DA6E5D9" w14:textId="77777777" w:rsidR="00647364" w:rsidRPr="00244C6F" w:rsidRDefault="00647364" w:rsidP="005E6E3F">
            <w:pPr>
              <w:rPr>
                <w:rFonts w:ascii="Calibri" w:hAnsi="Calibri" w:cs="Calibri"/>
              </w:rPr>
            </w:pPr>
          </w:p>
          <w:p w14:paraId="2FDE1A50" w14:textId="77777777" w:rsidR="004F42D0" w:rsidRPr="00244C6F" w:rsidRDefault="004F42D0" w:rsidP="005E6E3F">
            <w:pPr>
              <w:rPr>
                <w:rFonts w:ascii="Calibri" w:hAnsi="Calibri" w:cs="Calibri"/>
                <w:b w:val="0"/>
                <w:bCs w:val="0"/>
              </w:rPr>
            </w:pPr>
          </w:p>
          <w:p w14:paraId="6F1F4EA2" w14:textId="77777777" w:rsidR="00C66489" w:rsidRPr="00244C6F" w:rsidRDefault="00C66489" w:rsidP="005E6E3F">
            <w:pPr>
              <w:rPr>
                <w:rFonts w:ascii="Calibri" w:hAnsi="Calibri" w:cs="Calibri"/>
                <w:b w:val="0"/>
                <w:bCs w:val="0"/>
              </w:rPr>
            </w:pPr>
          </w:p>
          <w:p w14:paraId="55B8A51B" w14:textId="77777777" w:rsidR="00C66489" w:rsidRPr="00244C6F" w:rsidRDefault="00C66489" w:rsidP="005E6E3F">
            <w:pPr>
              <w:rPr>
                <w:rFonts w:ascii="Calibri" w:hAnsi="Calibri" w:cs="Calibri"/>
                <w:b w:val="0"/>
                <w:bCs w:val="0"/>
              </w:rPr>
            </w:pPr>
          </w:p>
          <w:p w14:paraId="15FE0992" w14:textId="7A5C2295" w:rsidR="004F42D0" w:rsidRPr="00244C6F" w:rsidRDefault="000F211A" w:rsidP="005E6E3F">
            <w:pPr>
              <w:rPr>
                <w:rFonts w:ascii="Calibri" w:hAnsi="Calibri" w:cs="Calibri"/>
              </w:rPr>
            </w:pPr>
            <w:r w:rsidRPr="00244C6F">
              <w:rPr>
                <w:rFonts w:ascii="Calibri" w:hAnsi="Calibri" w:cs="Calibri"/>
              </w:rPr>
              <w:lastRenderedPageBreak/>
              <w:t>Netinkamas direktyvos perkėlimas</w:t>
            </w:r>
          </w:p>
          <w:p w14:paraId="204F73CD" w14:textId="77777777" w:rsidR="004F42D0" w:rsidRPr="00244C6F" w:rsidRDefault="004F42D0" w:rsidP="005E6E3F">
            <w:pPr>
              <w:rPr>
                <w:rFonts w:ascii="Calibri" w:hAnsi="Calibri" w:cs="Calibri"/>
                <w:b w:val="0"/>
                <w:bCs w:val="0"/>
              </w:rPr>
            </w:pPr>
          </w:p>
          <w:p w14:paraId="40C51311" w14:textId="77777777" w:rsidR="004F42D0" w:rsidRPr="00244C6F" w:rsidRDefault="004F42D0" w:rsidP="005E6E3F">
            <w:pPr>
              <w:rPr>
                <w:rFonts w:ascii="Calibri" w:hAnsi="Calibri" w:cs="Calibri"/>
                <w:b w:val="0"/>
                <w:bCs w:val="0"/>
              </w:rPr>
            </w:pPr>
          </w:p>
          <w:p w14:paraId="07DE6D55" w14:textId="77777777" w:rsidR="00183C7B" w:rsidRPr="00244C6F" w:rsidRDefault="00183C7B" w:rsidP="005E6E3F">
            <w:pPr>
              <w:rPr>
                <w:rFonts w:ascii="Calibri" w:hAnsi="Calibri" w:cs="Calibri"/>
                <w:b w:val="0"/>
                <w:bCs w:val="0"/>
              </w:rPr>
            </w:pPr>
          </w:p>
          <w:p w14:paraId="043FF71E" w14:textId="2E46F81C" w:rsidR="004F42D0" w:rsidRPr="00244C6F" w:rsidRDefault="00CD6674" w:rsidP="005E6E3F">
            <w:pPr>
              <w:rPr>
                <w:rFonts w:ascii="Calibri" w:hAnsi="Calibri" w:cs="Calibri"/>
              </w:rPr>
            </w:pPr>
            <w:r w:rsidRPr="00244C6F">
              <w:rPr>
                <w:rFonts w:ascii="Calibri" w:hAnsi="Calibri" w:cs="Calibri"/>
              </w:rPr>
              <w:t>Pareigos tikrinti duomenų teisingumą neįvykdymas</w:t>
            </w:r>
          </w:p>
          <w:p w14:paraId="0015BD56" w14:textId="74606C59" w:rsidR="00B100C0" w:rsidRPr="00244C6F" w:rsidRDefault="00B100C0" w:rsidP="005E6E3F">
            <w:pPr>
              <w:rPr>
                <w:rFonts w:ascii="Calibri" w:hAnsi="Calibri" w:cs="Calibri"/>
                <w:b w:val="0"/>
                <w:bCs w:val="0"/>
              </w:rPr>
            </w:pPr>
          </w:p>
          <w:p w14:paraId="14AA146B" w14:textId="2DBA1F3B" w:rsidR="00B100C0" w:rsidRPr="00244C6F" w:rsidRDefault="00C57E85" w:rsidP="00C57E85">
            <w:pPr>
              <w:rPr>
                <w:rFonts w:ascii="Calibri" w:hAnsi="Calibri" w:cs="Calibri"/>
              </w:rPr>
            </w:pPr>
            <w:r w:rsidRPr="00244C6F">
              <w:rPr>
                <w:rFonts w:ascii="Calibri" w:hAnsi="Calibri" w:cs="Calibri"/>
              </w:rPr>
              <w:t>Žmogiškoji klaida / atidum</w:t>
            </w:r>
            <w:r w:rsidR="00BB535F" w:rsidRPr="00244C6F">
              <w:rPr>
                <w:rFonts w:ascii="Calibri" w:hAnsi="Calibri" w:cs="Calibri"/>
              </w:rPr>
              <w:t xml:space="preserve">o </w:t>
            </w:r>
            <w:r w:rsidR="00CA734B">
              <w:rPr>
                <w:rFonts w:ascii="Calibri" w:hAnsi="Calibri" w:cs="Calibri"/>
              </w:rPr>
              <w:t>stoka</w:t>
            </w:r>
          </w:p>
        </w:tc>
        <w:tc>
          <w:tcPr>
            <w:tcW w:w="7423" w:type="dxa"/>
            <w:tcBorders>
              <w:top w:val="single" w:sz="4" w:space="0" w:color="FFFFFF" w:themeColor="background1"/>
              <w:left w:val="nil"/>
              <w:bottom w:val="nil"/>
              <w:right w:val="nil"/>
            </w:tcBorders>
            <w:shd w:val="clear" w:color="auto" w:fill="CAEDFB" w:themeFill="accent4" w:themeFillTint="33"/>
          </w:tcPr>
          <w:p w14:paraId="5BDDF841" w14:textId="62913D78" w:rsidR="00C54732" w:rsidRPr="00244C6F" w:rsidRDefault="00B45B54" w:rsidP="00B45B54">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CAEDFB" w:themeColor="accent4" w:themeTint="33"/>
              </w:rPr>
            </w:pPr>
            <w:r w:rsidRPr="00244C6F">
              <w:rPr>
                <w:rFonts w:ascii="Calibri" w:hAnsi="Calibri" w:cs="Calibri"/>
                <w:b/>
                <w:bCs/>
                <w:color w:val="CAEDFB" w:themeColor="accent4" w:themeTint="33"/>
              </w:rPr>
              <w:lastRenderedPageBreak/>
              <w:t xml:space="preserve">         </w:t>
            </w:r>
          </w:p>
        </w:tc>
      </w:tr>
      <w:tr w:rsidR="005F1E77" w:rsidRPr="00244C6F" w14:paraId="5B2A78E4" w14:textId="77777777" w:rsidTr="00D257A7">
        <w:tc>
          <w:tcPr>
            <w:cnfStyle w:val="001000000000" w:firstRow="0" w:lastRow="0" w:firstColumn="1" w:lastColumn="0" w:oddVBand="0" w:evenVBand="0" w:oddHBand="0" w:evenHBand="0" w:firstRowFirstColumn="0" w:firstRowLastColumn="0" w:lastRowFirstColumn="0" w:lastRowLastColumn="0"/>
            <w:tcW w:w="2211" w:type="dxa"/>
            <w:vMerge/>
            <w:vAlign w:val="center"/>
          </w:tcPr>
          <w:p w14:paraId="21FA9E40" w14:textId="77777777" w:rsidR="005F1E77" w:rsidRPr="00244C6F" w:rsidRDefault="005F1E77" w:rsidP="005F1E77">
            <w:pPr>
              <w:jc w:val="center"/>
              <w:rPr>
                <w:rFonts w:ascii="Calibri" w:hAnsi="Calibri" w:cs="Calibri"/>
              </w:rPr>
            </w:pPr>
          </w:p>
        </w:tc>
        <w:tc>
          <w:tcPr>
            <w:tcW w:w="7423" w:type="dxa"/>
            <w:tcBorders>
              <w:top w:val="nil"/>
            </w:tcBorders>
          </w:tcPr>
          <w:p w14:paraId="2C091784" w14:textId="049E75BF" w:rsidR="00096D7A" w:rsidRPr="00244C6F" w:rsidRDefault="00096D7A" w:rsidP="00E83127">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Ieškovės laikinas sulaikymas atitinkamu laikotarpiu (iš viso 20</w:t>
            </w:r>
            <w:r w:rsidR="00DB7560" w:rsidRPr="00244C6F">
              <w:rPr>
                <w:rFonts w:ascii="Calibri" w:hAnsi="Calibri" w:cs="Calibri"/>
              </w:rPr>
              <w:t> </w:t>
            </w:r>
            <w:r w:rsidRPr="00244C6F">
              <w:rPr>
                <w:rFonts w:ascii="Calibri" w:hAnsi="Calibri" w:cs="Calibri"/>
              </w:rPr>
              <w:t>val. 2</w:t>
            </w:r>
            <w:r w:rsidR="00DB7560" w:rsidRPr="00244C6F">
              <w:rPr>
                <w:rFonts w:ascii="Calibri" w:hAnsi="Calibri" w:cs="Calibri"/>
              </w:rPr>
              <w:t> </w:t>
            </w:r>
            <w:r w:rsidRPr="00244C6F">
              <w:rPr>
                <w:rFonts w:ascii="Calibri" w:hAnsi="Calibri" w:cs="Calibri"/>
              </w:rPr>
              <w:t xml:space="preserve">min.) nebuvo teisėtas ir pagrįstas, neatitiko BPK 140 straipsnyje nustatytų tokio sulaikymo pagrindų, nebuvo būtinas procesiniams veiksmams atlikti ir nebuvo proporcingas siekiamam tikslui, </w:t>
            </w:r>
            <w:r w:rsidR="00DB7560" w:rsidRPr="00244C6F">
              <w:rPr>
                <w:rFonts w:ascii="Calibri" w:hAnsi="Calibri" w:cs="Calibri"/>
              </w:rPr>
              <w:t xml:space="preserve">kuris </w:t>
            </w:r>
            <w:r w:rsidRPr="00244C6F">
              <w:rPr>
                <w:rFonts w:ascii="Calibri" w:hAnsi="Calibri" w:cs="Calibri"/>
              </w:rPr>
              <w:t>keliam</w:t>
            </w:r>
            <w:r w:rsidR="00DB7560" w:rsidRPr="00244C6F">
              <w:rPr>
                <w:rFonts w:ascii="Calibri" w:hAnsi="Calibri" w:cs="Calibri"/>
              </w:rPr>
              <w:t>as</w:t>
            </w:r>
            <w:r w:rsidRPr="00244C6F">
              <w:rPr>
                <w:rFonts w:ascii="Calibri" w:hAnsi="Calibri" w:cs="Calibri"/>
              </w:rPr>
              <w:t>, kai asmuo sulaikomas tuoj po nusikalstamos veikos padarymo.</w:t>
            </w:r>
            <w:r w:rsidRPr="00244C6F">
              <w:rPr>
                <w:rFonts w:ascii="Calibri" w:hAnsi="Calibri" w:cs="Calibri"/>
                <w:vertAlign w:val="superscript"/>
              </w:rPr>
              <w:footnoteReference w:id="9"/>
            </w:r>
          </w:p>
          <w:p w14:paraId="4420AFB0" w14:textId="77777777" w:rsidR="00C0778C" w:rsidRPr="00244C6F" w:rsidRDefault="00C0778C" w:rsidP="00C0778C">
            <w:pPr>
              <w:pStyle w:val="Sraopastraipa"/>
              <w:ind w:left="608"/>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3D7DB39" w14:textId="4E17C7F3" w:rsidR="00096D7A" w:rsidRPr="00244C6F" w:rsidRDefault="00096D7A" w:rsidP="00E83127">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Aukštesnės instancijos teismas baudžiamojoje byloje nustatė pirmos instancijos teismo padarytus procesinius pažeidimus. Netinkamai </w:t>
            </w:r>
            <w:r w:rsidRPr="00244C6F">
              <w:rPr>
                <w:rFonts w:ascii="Calibri" w:hAnsi="Calibri" w:cs="Calibri"/>
              </w:rPr>
              <w:lastRenderedPageBreak/>
              <w:t>pritaikytas įstatymas lėmė tai, kad buvo netinkamai įvertin</w:t>
            </w:r>
            <w:r w:rsidR="00DB7560" w:rsidRPr="00244C6F">
              <w:rPr>
                <w:rFonts w:ascii="Calibri" w:hAnsi="Calibri" w:cs="Calibri"/>
              </w:rPr>
              <w:t>t</w:t>
            </w:r>
            <w:r w:rsidRPr="00244C6F">
              <w:rPr>
                <w:rFonts w:ascii="Calibri" w:hAnsi="Calibri" w:cs="Calibri"/>
              </w:rPr>
              <w:t>os baudžiamojoje byloje nustatytos aplinkybės ir padaryta nepagrįsta išvada dėl asmens kaltės padarius inkriminuotą nusikalstamą veiką.</w:t>
            </w:r>
            <w:r w:rsidRPr="00244C6F">
              <w:rPr>
                <w:rFonts w:ascii="Calibri" w:hAnsi="Calibri" w:cs="Calibri"/>
                <w:vertAlign w:val="superscript"/>
              </w:rPr>
              <w:footnoteReference w:id="10"/>
            </w:r>
          </w:p>
          <w:p w14:paraId="7DDED2FA" w14:textId="231B49C8" w:rsidR="00785635" w:rsidRPr="00244C6F" w:rsidRDefault="00E83127" w:rsidP="001929A0">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Prokurorai detaliai neišsiaiškino ieškovams pareikštuose įtarimuose inkriminuotos nusikalstamos veikos aplinkybių, o prokuroras neišnaudojo visų galimybių </w:t>
            </w:r>
            <w:r w:rsidR="005E2195" w:rsidRPr="00244C6F">
              <w:rPr>
                <w:rFonts w:ascii="Calibri" w:hAnsi="Calibri" w:cs="Calibri"/>
              </w:rPr>
              <w:t xml:space="preserve">organizuoti </w:t>
            </w:r>
            <w:r w:rsidRPr="00244C6F">
              <w:rPr>
                <w:rFonts w:ascii="Calibri" w:hAnsi="Calibri" w:cs="Calibri"/>
              </w:rPr>
              <w:t>ikiteisminį tyrimą taip, kad būtų surinkti ir išsamiai ištirti reikšmingi duomenys ir nustatytos aplinkybės. Teismas, priėmęs apkaltinamąjį nuosprendį, netinkamai vertino ginčui aktualias nuostatas bei nesivadovavo kasacinio teismo praktika tokio pobūdžio bylose.</w:t>
            </w:r>
            <w:r w:rsidRPr="00244C6F">
              <w:rPr>
                <w:rFonts w:ascii="Calibri" w:hAnsi="Calibri" w:cs="Calibri"/>
                <w:vertAlign w:val="superscript"/>
              </w:rPr>
              <w:footnoteReference w:id="11"/>
            </w:r>
          </w:p>
          <w:p w14:paraId="711A4D80" w14:textId="77777777" w:rsidR="0038586F" w:rsidRPr="00244C6F" w:rsidRDefault="0038586F" w:rsidP="0038586F">
            <w:pPr>
              <w:pStyle w:val="Sraopastraipa"/>
              <w:ind w:left="608"/>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B02035B" w14:textId="036EFEB4" w:rsidR="00096D7A" w:rsidRPr="00244C6F" w:rsidRDefault="00096D7A" w:rsidP="00E83127">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Teismai konstatavo, kad prokuratūra, kaip ikiteisminį tyrimą kontroliuojanti ir jam vadovaujanti institucija, turėjo kompetenciją</w:t>
            </w:r>
            <w:r w:rsidR="005E2195" w:rsidRPr="00244C6F">
              <w:rPr>
                <w:rFonts w:ascii="Calibri" w:hAnsi="Calibri" w:cs="Calibri"/>
              </w:rPr>
              <w:t xml:space="preserve"> </w:t>
            </w:r>
            <w:r w:rsidRPr="00244C6F">
              <w:rPr>
                <w:rFonts w:ascii="Calibri" w:hAnsi="Calibri" w:cs="Calibri"/>
              </w:rPr>
              <w:t xml:space="preserve">ir pareigą spręsti dėl pavojingų daiktinių įrodymų tinkamo laikymo vietos nustatymo, o to nepadariusi </w:t>
            </w:r>
            <w:r w:rsidR="005E2195" w:rsidRPr="00244C6F">
              <w:rPr>
                <w:rFonts w:ascii="Calibri" w:hAnsi="Calibri" w:cs="Calibri"/>
              </w:rPr>
              <w:t xml:space="preserve">savo </w:t>
            </w:r>
            <w:r w:rsidRPr="00244C6F">
              <w:rPr>
                <w:rFonts w:ascii="Calibri" w:hAnsi="Calibri" w:cs="Calibri"/>
              </w:rPr>
              <w:t xml:space="preserve">neveikimu </w:t>
            </w:r>
            <w:r w:rsidR="005E2195" w:rsidRPr="00244C6F">
              <w:rPr>
                <w:rFonts w:ascii="Calibri" w:hAnsi="Calibri" w:cs="Calibri"/>
              </w:rPr>
              <w:t xml:space="preserve">atliko </w:t>
            </w:r>
            <w:r w:rsidRPr="00244C6F">
              <w:rPr>
                <w:rFonts w:ascii="Calibri" w:hAnsi="Calibri" w:cs="Calibri"/>
              </w:rPr>
              <w:t>neteisėtus veiksmus</w:t>
            </w:r>
            <w:r w:rsidR="00634325" w:rsidRPr="00244C6F">
              <w:rPr>
                <w:rFonts w:ascii="Calibri" w:hAnsi="Calibri" w:cs="Calibri"/>
              </w:rPr>
              <w:t xml:space="preserve"> ir </w:t>
            </w:r>
            <w:r w:rsidRPr="00244C6F">
              <w:rPr>
                <w:rFonts w:ascii="Calibri" w:hAnsi="Calibri" w:cs="Calibri"/>
              </w:rPr>
              <w:t>taip</w:t>
            </w:r>
            <w:r w:rsidR="00634325" w:rsidRPr="00244C6F">
              <w:rPr>
                <w:rFonts w:ascii="Calibri" w:hAnsi="Calibri" w:cs="Calibri"/>
              </w:rPr>
              <w:t xml:space="preserve"> </w:t>
            </w:r>
            <w:r w:rsidRPr="00244C6F">
              <w:rPr>
                <w:rFonts w:ascii="Calibri" w:hAnsi="Calibri" w:cs="Calibri"/>
              </w:rPr>
              <w:t>pažeidė konkrečias teisės normas</w:t>
            </w:r>
            <w:r w:rsidR="004C3358" w:rsidRPr="00244C6F">
              <w:rPr>
                <w:rFonts w:ascii="Calibri" w:hAnsi="Calibri" w:cs="Calibri"/>
              </w:rPr>
              <w:t>.</w:t>
            </w:r>
            <w:r w:rsidRPr="00244C6F">
              <w:rPr>
                <w:rFonts w:ascii="Calibri" w:hAnsi="Calibri" w:cs="Calibri"/>
                <w:vertAlign w:val="superscript"/>
              </w:rPr>
              <w:footnoteReference w:id="12"/>
            </w:r>
          </w:p>
          <w:p w14:paraId="47359F14" w14:textId="77777777" w:rsidR="00A444AC" w:rsidRPr="00244C6F" w:rsidRDefault="00A444AC" w:rsidP="00A444A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3A3BBD7" w14:textId="77777777" w:rsidR="00A444AC" w:rsidRPr="00244C6F" w:rsidRDefault="00A444AC" w:rsidP="00A444A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AE16A89" w14:textId="77777777" w:rsidR="00A444AC" w:rsidRPr="00244C6F" w:rsidRDefault="00A444AC" w:rsidP="00A444A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9278F8D" w14:textId="77777777" w:rsidR="00A444AC" w:rsidRPr="00244C6F" w:rsidRDefault="00A444AC" w:rsidP="00A444A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B3CA016" w14:textId="77777777" w:rsidR="00A444AC" w:rsidRPr="00244C6F" w:rsidRDefault="00A444AC" w:rsidP="00A444A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7479864" w14:textId="40E799A1" w:rsidR="00096D7A" w:rsidRPr="00244C6F" w:rsidRDefault="0052567B" w:rsidP="00E83127">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I</w:t>
            </w:r>
            <w:r w:rsidR="00096D7A" w:rsidRPr="00244C6F">
              <w:rPr>
                <w:rFonts w:ascii="Calibri" w:hAnsi="Calibri" w:cs="Calibri"/>
              </w:rPr>
              <w:t xml:space="preserve">kiteisminio tyrimo eigoje </w:t>
            </w:r>
            <w:r w:rsidRPr="00244C6F">
              <w:rPr>
                <w:rFonts w:ascii="Calibri" w:hAnsi="Calibri" w:cs="Calibri"/>
              </w:rPr>
              <w:t>buvo</w:t>
            </w:r>
            <w:r w:rsidR="00096D7A" w:rsidRPr="00244C6F">
              <w:rPr>
                <w:rFonts w:ascii="Calibri" w:hAnsi="Calibri" w:cs="Calibri"/>
              </w:rPr>
              <w:t xml:space="preserve"> pakankamai duomenų, kurie leido</w:t>
            </w:r>
            <w:r w:rsidR="00A60A15" w:rsidRPr="00244C6F">
              <w:rPr>
                <w:rFonts w:ascii="Calibri" w:hAnsi="Calibri" w:cs="Calibri"/>
              </w:rPr>
              <w:t xml:space="preserve"> nustatyti, kad</w:t>
            </w:r>
            <w:r w:rsidR="00096D7A" w:rsidRPr="00244C6F">
              <w:rPr>
                <w:rFonts w:ascii="Calibri" w:hAnsi="Calibri" w:cs="Calibri"/>
              </w:rPr>
              <w:t xml:space="preserve"> ieškovo ir nukentėjusiojo teis</w:t>
            </w:r>
            <w:r w:rsidR="00A60A15" w:rsidRPr="00244C6F">
              <w:rPr>
                <w:rFonts w:ascii="Calibri" w:hAnsi="Calibri" w:cs="Calibri"/>
              </w:rPr>
              <w:t>i</w:t>
            </w:r>
            <w:r w:rsidR="00096D7A" w:rsidRPr="00244C6F">
              <w:rPr>
                <w:rFonts w:ascii="Calibri" w:hAnsi="Calibri" w:cs="Calibri"/>
              </w:rPr>
              <w:t>n</w:t>
            </w:r>
            <w:r w:rsidR="004B58D0" w:rsidRPr="00244C6F">
              <w:rPr>
                <w:rFonts w:ascii="Calibri" w:hAnsi="Calibri" w:cs="Calibri"/>
              </w:rPr>
              <w:t>i</w:t>
            </w:r>
            <w:r w:rsidR="00A60A15" w:rsidRPr="00244C6F">
              <w:rPr>
                <w:rFonts w:ascii="Calibri" w:hAnsi="Calibri" w:cs="Calibri"/>
              </w:rPr>
              <w:t xml:space="preserve">ai </w:t>
            </w:r>
            <w:r w:rsidR="00096D7A" w:rsidRPr="00244C6F">
              <w:rPr>
                <w:rFonts w:ascii="Calibri" w:hAnsi="Calibri" w:cs="Calibri"/>
              </w:rPr>
              <w:t>santyki</w:t>
            </w:r>
            <w:r w:rsidR="00A60A15" w:rsidRPr="00244C6F">
              <w:rPr>
                <w:rFonts w:ascii="Calibri" w:hAnsi="Calibri" w:cs="Calibri"/>
              </w:rPr>
              <w:t xml:space="preserve">ai būtų kvalifikuojami </w:t>
            </w:r>
            <w:r w:rsidR="00096D7A" w:rsidRPr="00244C6F">
              <w:rPr>
                <w:rFonts w:ascii="Calibri" w:hAnsi="Calibri" w:cs="Calibri"/>
              </w:rPr>
              <w:t>ne kaip reglamentuojam</w:t>
            </w:r>
            <w:r w:rsidR="00A60A15" w:rsidRPr="00244C6F">
              <w:rPr>
                <w:rFonts w:ascii="Calibri" w:hAnsi="Calibri" w:cs="Calibri"/>
              </w:rPr>
              <w:t>i</w:t>
            </w:r>
            <w:r w:rsidR="00096D7A" w:rsidRPr="00244C6F">
              <w:rPr>
                <w:rFonts w:ascii="Calibri" w:hAnsi="Calibri" w:cs="Calibri"/>
              </w:rPr>
              <w:t xml:space="preserve"> baudžiamosios teisės, bet kaip civilini</w:t>
            </w:r>
            <w:r w:rsidR="00A60A15" w:rsidRPr="00244C6F">
              <w:rPr>
                <w:rFonts w:ascii="Calibri" w:hAnsi="Calibri" w:cs="Calibri"/>
              </w:rPr>
              <w:t>ai</w:t>
            </w:r>
            <w:r w:rsidR="00096D7A" w:rsidRPr="00244C6F">
              <w:rPr>
                <w:rFonts w:ascii="Calibri" w:hAnsi="Calibri" w:cs="Calibri"/>
              </w:rPr>
              <w:t xml:space="preserve"> komercini</w:t>
            </w:r>
            <w:r w:rsidR="00A60A15" w:rsidRPr="00244C6F">
              <w:rPr>
                <w:rFonts w:ascii="Calibri" w:hAnsi="Calibri" w:cs="Calibri"/>
              </w:rPr>
              <w:t>ai</w:t>
            </w:r>
            <w:r w:rsidR="00096D7A" w:rsidRPr="00244C6F">
              <w:rPr>
                <w:rFonts w:ascii="Calibri" w:hAnsi="Calibri" w:cs="Calibri"/>
              </w:rPr>
              <w:t xml:space="preserve"> santyki</w:t>
            </w:r>
            <w:r w:rsidR="00A60A15" w:rsidRPr="00244C6F">
              <w:rPr>
                <w:rFonts w:ascii="Calibri" w:hAnsi="Calibri" w:cs="Calibri"/>
              </w:rPr>
              <w:t>ai</w:t>
            </w:r>
            <w:r w:rsidR="00096D7A" w:rsidRPr="00244C6F">
              <w:rPr>
                <w:rFonts w:ascii="Calibri" w:hAnsi="Calibri" w:cs="Calibri"/>
              </w:rPr>
              <w:t>. Be to, ikiteisminio tyrimo metu buvo pažeisti baudžiamojo proceso nekaltumo prezumpcijos, rungimosi, proporcingumo panaudojant procesines prievartos priemones, proceso išsamumo principai (BPK 7</w:t>
            </w:r>
            <w:r w:rsidR="004B58D0" w:rsidRPr="00244C6F">
              <w:rPr>
                <w:rFonts w:ascii="Calibri" w:hAnsi="Calibri" w:cs="Calibri"/>
              </w:rPr>
              <w:t xml:space="preserve"> ir</w:t>
            </w:r>
            <w:r w:rsidR="00096D7A" w:rsidRPr="00244C6F">
              <w:rPr>
                <w:rFonts w:ascii="Calibri" w:hAnsi="Calibri" w:cs="Calibri"/>
              </w:rPr>
              <w:t xml:space="preserve"> 11 straipsniai).</w:t>
            </w:r>
            <w:r w:rsidR="00096D7A" w:rsidRPr="00244C6F">
              <w:rPr>
                <w:rFonts w:ascii="Calibri" w:hAnsi="Calibri" w:cs="Calibri"/>
                <w:vertAlign w:val="superscript"/>
              </w:rPr>
              <w:footnoteReference w:id="13"/>
            </w:r>
          </w:p>
          <w:p w14:paraId="4029FF13" w14:textId="77777777" w:rsidR="00247411" w:rsidRPr="00244C6F" w:rsidRDefault="00247411" w:rsidP="00247411">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047509C" w14:textId="77777777" w:rsidR="00247411" w:rsidRPr="00244C6F" w:rsidRDefault="00247411" w:rsidP="00247411">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A06302E" w14:textId="6B1BEA2B" w:rsidR="00096D7A" w:rsidRPr="00244C6F" w:rsidRDefault="00272128" w:rsidP="00E83127">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kern w:val="0"/>
                <w14:ligatures w14:val="none"/>
              </w:rPr>
              <w:t xml:space="preserve">Ieškovė ikiteisminio tyrimo metu buvo verčiama duoti parodymus prieš save, </w:t>
            </w:r>
            <w:r w:rsidR="00A60A15" w:rsidRPr="00244C6F">
              <w:rPr>
                <w:rFonts w:ascii="Calibri" w:hAnsi="Calibri" w:cs="Calibri"/>
                <w:kern w:val="0"/>
                <w14:ligatures w14:val="none"/>
              </w:rPr>
              <w:t xml:space="preserve">nors, </w:t>
            </w:r>
            <w:r w:rsidRPr="00244C6F">
              <w:rPr>
                <w:rFonts w:ascii="Calibri" w:hAnsi="Calibri" w:cs="Calibri"/>
                <w:kern w:val="0"/>
                <w14:ligatures w14:val="none"/>
              </w:rPr>
              <w:t>pagal BPK 80 straipsnio 1 dalies nuostatas</w:t>
            </w:r>
            <w:r w:rsidR="00A60A15" w:rsidRPr="00244C6F">
              <w:rPr>
                <w:rFonts w:ascii="Calibri" w:hAnsi="Calibri" w:cs="Calibri"/>
                <w:kern w:val="0"/>
                <w14:ligatures w14:val="none"/>
              </w:rPr>
              <w:t>,</w:t>
            </w:r>
            <w:r w:rsidRPr="00244C6F">
              <w:rPr>
                <w:rFonts w:ascii="Calibri" w:hAnsi="Calibri" w:cs="Calibri"/>
                <w:kern w:val="0"/>
                <w14:ligatures w14:val="none"/>
              </w:rPr>
              <w:t xml:space="preserve"> </w:t>
            </w:r>
            <w:r w:rsidR="00A60A15" w:rsidRPr="00244C6F">
              <w:rPr>
                <w:rFonts w:ascii="Calibri" w:hAnsi="Calibri" w:cs="Calibri"/>
                <w:kern w:val="0"/>
                <w14:ligatures w14:val="none"/>
              </w:rPr>
              <w:t>apklausti ją kaip liudytoj</w:t>
            </w:r>
            <w:r w:rsidR="0050794D" w:rsidRPr="00244C6F">
              <w:rPr>
                <w:rFonts w:ascii="Calibri" w:hAnsi="Calibri" w:cs="Calibri"/>
                <w:kern w:val="0"/>
                <w14:ligatures w14:val="none"/>
              </w:rPr>
              <w:t>ą</w:t>
            </w:r>
            <w:r w:rsidR="00A60A15" w:rsidRPr="00244C6F">
              <w:rPr>
                <w:rFonts w:ascii="Calibri" w:hAnsi="Calibri" w:cs="Calibri"/>
                <w:kern w:val="0"/>
                <w14:ligatures w14:val="none"/>
              </w:rPr>
              <w:t xml:space="preserve"> </w:t>
            </w:r>
            <w:r w:rsidRPr="00244C6F">
              <w:rPr>
                <w:rFonts w:ascii="Calibri" w:hAnsi="Calibri" w:cs="Calibri"/>
                <w:kern w:val="0"/>
                <w14:ligatures w14:val="none"/>
              </w:rPr>
              <w:t>buvo draudžiama</w:t>
            </w:r>
            <w:r w:rsidR="00A60A15" w:rsidRPr="00244C6F">
              <w:rPr>
                <w:rFonts w:ascii="Calibri" w:hAnsi="Calibri" w:cs="Calibri"/>
                <w:kern w:val="0"/>
                <w14:ligatures w14:val="none"/>
              </w:rPr>
              <w:t>.</w:t>
            </w:r>
            <w:r w:rsidRPr="00244C6F">
              <w:rPr>
                <w:rFonts w:ascii="Calibri" w:hAnsi="Calibri" w:cs="Calibri"/>
                <w:kern w:val="0"/>
                <w14:ligatures w14:val="none"/>
              </w:rPr>
              <w:t xml:space="preserve"> </w:t>
            </w:r>
            <w:r w:rsidR="00A60A15" w:rsidRPr="00244C6F">
              <w:rPr>
                <w:rFonts w:ascii="Calibri" w:hAnsi="Calibri" w:cs="Calibri"/>
                <w:kern w:val="0"/>
                <w14:ligatures w14:val="none"/>
              </w:rPr>
              <w:t>Š</w:t>
            </w:r>
            <w:r w:rsidRPr="00244C6F">
              <w:rPr>
                <w:rFonts w:ascii="Calibri" w:hAnsi="Calibri" w:cs="Calibri"/>
                <w:kern w:val="0"/>
                <w14:ligatures w14:val="none"/>
              </w:rPr>
              <w:t xml:space="preserve">ios teisės normos pažeidimas nulėmė netinkamą BPK 235 straipsnio 1 dalies pritaikymą, </w:t>
            </w:r>
            <w:r w:rsidR="00A60A15" w:rsidRPr="00244C6F">
              <w:rPr>
                <w:rFonts w:ascii="Calibri" w:hAnsi="Calibri" w:cs="Calibri"/>
                <w:kern w:val="0"/>
                <w14:ligatures w14:val="none"/>
              </w:rPr>
              <w:t>todėl tiek</w:t>
            </w:r>
            <w:r w:rsidRPr="00244C6F">
              <w:rPr>
                <w:rFonts w:ascii="Calibri" w:hAnsi="Calibri" w:cs="Calibri"/>
                <w:kern w:val="0"/>
                <w14:ligatures w14:val="none"/>
              </w:rPr>
              <w:t xml:space="preserve"> ikiteisminis tyrimas, </w:t>
            </w:r>
            <w:r w:rsidR="00A60A15" w:rsidRPr="00244C6F">
              <w:rPr>
                <w:rFonts w:ascii="Calibri" w:hAnsi="Calibri" w:cs="Calibri"/>
                <w:kern w:val="0"/>
                <w14:ligatures w14:val="none"/>
              </w:rPr>
              <w:t>tiek</w:t>
            </w:r>
            <w:r w:rsidRPr="00244C6F">
              <w:rPr>
                <w:rFonts w:ascii="Calibri" w:hAnsi="Calibri" w:cs="Calibri"/>
                <w:kern w:val="0"/>
                <w14:ligatures w14:val="none"/>
              </w:rPr>
              <w:t xml:space="preserve"> apkaltinamieji pirmosios ir apeliacinės instancijos teismo procesiniai sprendimai buvo neteisėti.</w:t>
            </w:r>
            <w:r w:rsidRPr="002E641C">
              <w:rPr>
                <w:rFonts w:ascii="Calibri" w:hAnsi="Calibri" w:cs="Calibri"/>
                <w:vertAlign w:val="superscript"/>
              </w:rPr>
              <w:footnoteReference w:id="14"/>
            </w:r>
            <w:r w:rsidRPr="002E641C">
              <w:rPr>
                <w:rFonts w:ascii="Calibri" w:hAnsi="Calibri" w:cs="Calibri"/>
                <w:kern w:val="0"/>
                <w:lang w:eastAsia="lt-LT"/>
                <w14:ligatures w14:val="none"/>
              </w:rPr>
              <w:t xml:space="preserve"> </w:t>
            </w:r>
          </w:p>
          <w:p w14:paraId="7483B10A" w14:textId="77777777" w:rsidR="00855A6C" w:rsidRPr="00244C6F" w:rsidRDefault="00855A6C" w:rsidP="00855A6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F994220" w14:textId="77777777" w:rsidR="00855A6C" w:rsidRPr="00244C6F" w:rsidRDefault="00855A6C" w:rsidP="00855A6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2CFBBDB" w14:textId="77777777" w:rsidR="001C3286" w:rsidRDefault="001C3286" w:rsidP="002E641C">
            <w:pPr>
              <w:pStyle w:val="Sraopastraipa"/>
              <w:ind w:left="608"/>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9A8FB87" w14:textId="1D986405" w:rsidR="005F1E77" w:rsidRPr="00244C6F" w:rsidRDefault="005F1E77" w:rsidP="00E83127">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Ikiteisminis tyrimas buvo tęsiamas, kaltinamasis aktas surašytas ir byla perduota teismui neatlikus visų veiksmų, kuriuos pareigūnai galėjo ir privalėjo</w:t>
            </w:r>
            <w:r w:rsidR="006D75D6" w:rsidRPr="00244C6F">
              <w:rPr>
                <w:rFonts w:ascii="Calibri" w:hAnsi="Calibri" w:cs="Calibri"/>
              </w:rPr>
              <w:t xml:space="preserve"> atlikti</w:t>
            </w:r>
            <w:r w:rsidRPr="00244C6F">
              <w:rPr>
                <w:rFonts w:ascii="Calibri" w:hAnsi="Calibri" w:cs="Calibri"/>
              </w:rPr>
              <w:t xml:space="preserve">, todėl baudžiamasis procesas buvo </w:t>
            </w:r>
            <w:r w:rsidRPr="00244C6F">
              <w:rPr>
                <w:rFonts w:ascii="Calibri" w:hAnsi="Calibri" w:cs="Calibri"/>
              </w:rPr>
              <w:lastRenderedPageBreak/>
              <w:t>organizuotas nepakankamai rūpestingai ir atsakingai</w:t>
            </w:r>
            <w:r w:rsidR="006D75D6" w:rsidRPr="00244C6F">
              <w:rPr>
                <w:rFonts w:ascii="Calibri" w:hAnsi="Calibri" w:cs="Calibri"/>
              </w:rPr>
              <w:t>,</w:t>
            </w:r>
            <w:r w:rsidRPr="00244C6F">
              <w:rPr>
                <w:rFonts w:ascii="Calibri" w:hAnsi="Calibri" w:cs="Calibri"/>
              </w:rPr>
              <w:t xml:space="preserve"> </w:t>
            </w:r>
            <w:r w:rsidR="006D75D6" w:rsidRPr="00244C6F">
              <w:rPr>
                <w:rFonts w:ascii="Calibri" w:hAnsi="Calibri" w:cs="Calibri"/>
              </w:rPr>
              <w:t>o</w:t>
            </w:r>
            <w:r w:rsidRPr="00244C6F">
              <w:rPr>
                <w:rFonts w:ascii="Calibri" w:hAnsi="Calibri" w:cs="Calibri"/>
              </w:rPr>
              <w:t xml:space="preserve"> ieškovas buvo nepagrįstai nuteistas.</w:t>
            </w:r>
            <w:r w:rsidRPr="00244C6F">
              <w:rPr>
                <w:rFonts w:ascii="Calibri" w:hAnsi="Calibri" w:cs="Calibri"/>
                <w:vertAlign w:val="superscript"/>
              </w:rPr>
              <w:footnoteReference w:id="15"/>
            </w:r>
          </w:p>
          <w:p w14:paraId="4ADF9D06" w14:textId="77777777" w:rsidR="001C3286" w:rsidRPr="00244C6F" w:rsidRDefault="001C3286" w:rsidP="001929A0">
            <w:pPr>
              <w:pStyle w:val="Sraopastraipa"/>
              <w:ind w:left="608"/>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6F6B4CE" w14:textId="77777777" w:rsidR="005715C0" w:rsidRPr="002E641C" w:rsidRDefault="005715C0" w:rsidP="002E641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58A0B8C" w14:textId="580FA9AB" w:rsidR="005F1E77" w:rsidRPr="00244C6F" w:rsidRDefault="005F1E77" w:rsidP="004B4E8E">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Konstatuota, </w:t>
            </w:r>
            <w:r w:rsidR="00C809C3" w:rsidRPr="00244C6F">
              <w:rPr>
                <w:rFonts w:ascii="Calibri" w:hAnsi="Calibri" w:cs="Calibri"/>
              </w:rPr>
              <w:t>kad</w:t>
            </w:r>
            <w:r w:rsidRPr="00244C6F">
              <w:rPr>
                <w:rFonts w:ascii="Calibri" w:hAnsi="Calibri" w:cs="Calibri"/>
              </w:rPr>
              <w:t xml:space="preserve"> procesinė prievartos priemonė – ieškovės nušalinimo nuo pareigų tęsimas konkrečiu laikotarpiu </w:t>
            </w:r>
            <w:r w:rsidR="00C809C3" w:rsidRPr="00244C6F">
              <w:rPr>
                <w:rFonts w:ascii="Calibri" w:hAnsi="Calibri" w:cs="Calibri"/>
              </w:rPr>
              <w:t xml:space="preserve">– </w:t>
            </w:r>
            <w:r w:rsidRPr="00244C6F">
              <w:rPr>
                <w:rFonts w:ascii="Calibri" w:hAnsi="Calibri" w:cs="Calibri"/>
              </w:rPr>
              <w:t>buvo neproporcing</w:t>
            </w:r>
            <w:r w:rsidR="00A945B3" w:rsidRPr="00244C6F">
              <w:rPr>
                <w:rFonts w:ascii="Calibri" w:hAnsi="Calibri" w:cs="Calibri"/>
              </w:rPr>
              <w:t>a</w:t>
            </w:r>
            <w:r w:rsidRPr="00244C6F">
              <w:rPr>
                <w:rFonts w:ascii="Calibri" w:hAnsi="Calibri" w:cs="Calibri"/>
              </w:rPr>
              <w:t>, nepasiekian</w:t>
            </w:r>
            <w:r w:rsidR="00A945B3" w:rsidRPr="00244C6F">
              <w:rPr>
                <w:rFonts w:ascii="Calibri" w:hAnsi="Calibri" w:cs="Calibri"/>
              </w:rPr>
              <w:t>ti</w:t>
            </w:r>
            <w:r w:rsidRPr="00244C6F">
              <w:rPr>
                <w:rFonts w:ascii="Calibri" w:hAnsi="Calibri" w:cs="Calibri"/>
              </w:rPr>
              <w:t xml:space="preserve"> tikslo užkirsti kelią naujoms panašioms veikoms ir pažeidžian</w:t>
            </w:r>
            <w:r w:rsidR="00A945B3" w:rsidRPr="00244C6F">
              <w:rPr>
                <w:rFonts w:ascii="Calibri" w:hAnsi="Calibri" w:cs="Calibri"/>
              </w:rPr>
              <w:t>ti</w:t>
            </w:r>
            <w:r w:rsidRPr="00244C6F">
              <w:rPr>
                <w:rFonts w:ascii="Calibri" w:hAnsi="Calibri" w:cs="Calibri"/>
              </w:rPr>
              <w:t xml:space="preserve"> ieškovės teises, todėl </w:t>
            </w:r>
            <w:r w:rsidR="00C809C3" w:rsidRPr="00244C6F">
              <w:rPr>
                <w:rFonts w:ascii="Calibri" w:hAnsi="Calibri" w:cs="Calibri"/>
              </w:rPr>
              <w:t>laikytin</w:t>
            </w:r>
            <w:r w:rsidR="00A945B3" w:rsidRPr="00244C6F">
              <w:rPr>
                <w:rFonts w:ascii="Calibri" w:hAnsi="Calibri" w:cs="Calibri"/>
              </w:rPr>
              <w:t>a</w:t>
            </w:r>
            <w:r w:rsidR="00C809C3" w:rsidRPr="00244C6F">
              <w:rPr>
                <w:rFonts w:ascii="Calibri" w:hAnsi="Calibri" w:cs="Calibri"/>
              </w:rPr>
              <w:t xml:space="preserve"> </w:t>
            </w:r>
            <w:r w:rsidRPr="00244C6F">
              <w:rPr>
                <w:rFonts w:ascii="Calibri" w:hAnsi="Calibri" w:cs="Calibri"/>
              </w:rPr>
              <w:t>neteisėt</w:t>
            </w:r>
            <w:r w:rsidR="00A945B3" w:rsidRPr="00244C6F">
              <w:rPr>
                <w:rFonts w:ascii="Calibri" w:hAnsi="Calibri" w:cs="Calibri"/>
              </w:rPr>
              <w:t>a</w:t>
            </w:r>
            <w:r w:rsidRPr="00244C6F">
              <w:rPr>
                <w:rFonts w:ascii="Calibri" w:hAnsi="Calibri" w:cs="Calibri"/>
              </w:rPr>
              <w:t xml:space="preserve">. Taip pat </w:t>
            </w:r>
            <w:r w:rsidR="00A13BBA" w:rsidRPr="00244C6F">
              <w:rPr>
                <w:rFonts w:ascii="Calibri" w:hAnsi="Calibri" w:cs="Calibri"/>
              </w:rPr>
              <w:t>neproporcingai ilgai</w:t>
            </w:r>
            <w:r w:rsidR="004B4E8E" w:rsidRPr="00244C6F">
              <w:rPr>
                <w:rFonts w:ascii="Calibri" w:hAnsi="Calibri" w:cs="Calibri"/>
              </w:rPr>
              <w:t xml:space="preserve"> </w:t>
            </w:r>
            <w:r w:rsidRPr="00244C6F">
              <w:rPr>
                <w:rFonts w:ascii="Calibri" w:hAnsi="Calibri" w:cs="Calibri"/>
              </w:rPr>
              <w:t>taikyti kriminalinės žvalgybos veiksmai</w:t>
            </w:r>
            <w:r w:rsidR="004B4E8E" w:rsidRPr="00244C6F">
              <w:rPr>
                <w:rFonts w:ascii="Calibri" w:hAnsi="Calibri" w:cs="Calibri"/>
              </w:rPr>
              <w:t xml:space="preserve"> (15</w:t>
            </w:r>
            <w:r w:rsidR="0023115A" w:rsidRPr="00244C6F">
              <w:rPr>
                <w:rFonts w:ascii="Calibri" w:hAnsi="Calibri" w:cs="Calibri"/>
              </w:rPr>
              <w:t> </w:t>
            </w:r>
            <w:r w:rsidR="004B4E8E" w:rsidRPr="00244C6F">
              <w:rPr>
                <w:rFonts w:ascii="Calibri" w:hAnsi="Calibri" w:cs="Calibri"/>
              </w:rPr>
              <w:t>mėnesių)</w:t>
            </w:r>
            <w:r w:rsidR="00867609" w:rsidRPr="00244C6F">
              <w:rPr>
                <w:rFonts w:ascii="Calibri" w:hAnsi="Calibri" w:cs="Calibri"/>
              </w:rPr>
              <w:t xml:space="preserve"> </w:t>
            </w:r>
            <w:r w:rsidR="00A96EEB" w:rsidRPr="00244C6F">
              <w:rPr>
                <w:rFonts w:ascii="Calibri" w:hAnsi="Calibri" w:cs="Calibri"/>
              </w:rPr>
              <w:t>suvaržė</w:t>
            </w:r>
            <w:r w:rsidR="00867609" w:rsidRPr="00244C6F">
              <w:rPr>
                <w:rFonts w:ascii="Calibri" w:hAnsi="Calibri" w:cs="Calibri"/>
              </w:rPr>
              <w:t xml:space="preserve"> ieškovės </w:t>
            </w:r>
            <w:r w:rsidR="00A96EEB" w:rsidRPr="00244C6F">
              <w:rPr>
                <w:rFonts w:ascii="Calibri" w:hAnsi="Calibri" w:cs="Calibri"/>
              </w:rPr>
              <w:t>teises.</w:t>
            </w:r>
            <w:r w:rsidRPr="00244C6F">
              <w:rPr>
                <w:rFonts w:ascii="Calibri" w:hAnsi="Calibri" w:cs="Calibri"/>
              </w:rPr>
              <w:t xml:space="preserve"> </w:t>
            </w:r>
            <w:r w:rsidR="009239A0" w:rsidRPr="00244C6F">
              <w:rPr>
                <w:rFonts w:ascii="Calibri" w:hAnsi="Calibri" w:cs="Calibri"/>
              </w:rPr>
              <w:t>Š</w:t>
            </w:r>
            <w:r w:rsidRPr="00244C6F">
              <w:rPr>
                <w:rFonts w:ascii="Calibri" w:hAnsi="Calibri" w:cs="Calibri"/>
              </w:rPr>
              <w:t xml:space="preserve">ios priemonės </w:t>
            </w:r>
            <w:r w:rsidR="009239A0" w:rsidRPr="00244C6F">
              <w:rPr>
                <w:rFonts w:ascii="Calibri" w:hAnsi="Calibri" w:cs="Calibri"/>
              </w:rPr>
              <w:t xml:space="preserve">teismo </w:t>
            </w:r>
            <w:r w:rsidR="0092574E" w:rsidRPr="00244C6F">
              <w:rPr>
                <w:rFonts w:ascii="Calibri" w:hAnsi="Calibri" w:cs="Calibri"/>
              </w:rPr>
              <w:t xml:space="preserve">buvo </w:t>
            </w:r>
            <w:r w:rsidR="009239A0" w:rsidRPr="00244C6F">
              <w:rPr>
                <w:rFonts w:ascii="Calibri" w:hAnsi="Calibri" w:cs="Calibri"/>
              </w:rPr>
              <w:t>vertintos</w:t>
            </w:r>
            <w:r w:rsidRPr="00244C6F">
              <w:rPr>
                <w:rFonts w:ascii="Calibri" w:hAnsi="Calibri" w:cs="Calibri"/>
              </w:rPr>
              <w:t xml:space="preserve"> kaip būdas rasti daugiau </w:t>
            </w:r>
            <w:r w:rsidR="00C809C3" w:rsidRPr="00244C6F">
              <w:rPr>
                <w:rFonts w:ascii="Calibri" w:hAnsi="Calibri" w:cs="Calibri"/>
              </w:rPr>
              <w:t xml:space="preserve">galimai </w:t>
            </w:r>
            <w:r w:rsidRPr="00244C6F">
              <w:rPr>
                <w:rFonts w:ascii="Calibri" w:hAnsi="Calibri" w:cs="Calibri"/>
              </w:rPr>
              <w:t xml:space="preserve">padarytų </w:t>
            </w:r>
            <w:r w:rsidR="00C809C3" w:rsidRPr="00244C6F">
              <w:rPr>
                <w:rFonts w:ascii="Calibri" w:hAnsi="Calibri" w:cs="Calibri"/>
              </w:rPr>
              <w:t xml:space="preserve">ieškovės </w:t>
            </w:r>
            <w:r w:rsidRPr="00244C6F">
              <w:rPr>
                <w:rFonts w:ascii="Calibri" w:hAnsi="Calibri" w:cs="Calibri"/>
              </w:rPr>
              <w:t>nusikalstamų veikų.</w:t>
            </w:r>
            <w:r w:rsidRPr="00244C6F">
              <w:rPr>
                <w:rFonts w:ascii="Calibri" w:hAnsi="Calibri" w:cs="Calibri"/>
                <w:vertAlign w:val="superscript"/>
              </w:rPr>
              <w:footnoteReference w:id="16"/>
            </w:r>
          </w:p>
          <w:p w14:paraId="4B5C4A62" w14:textId="77777777" w:rsidR="0061141A" w:rsidRPr="00244C6F" w:rsidRDefault="0061141A" w:rsidP="0061141A">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D8EC564" w14:textId="2EE89BDD" w:rsidR="005F1E77" w:rsidRPr="00244C6F" w:rsidRDefault="005F1E77" w:rsidP="00E83127">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Valstybė nesilaikė pareigos užtikrinti, kad pareigas eitų asmenys, </w:t>
            </w:r>
            <w:r w:rsidR="00C809C3" w:rsidRPr="00244C6F">
              <w:rPr>
                <w:rFonts w:ascii="Calibri" w:hAnsi="Calibri" w:cs="Calibri"/>
              </w:rPr>
              <w:t xml:space="preserve">pasižymintys </w:t>
            </w:r>
            <w:r w:rsidRPr="00244C6F">
              <w:rPr>
                <w:rFonts w:ascii="Calibri" w:hAnsi="Calibri" w:cs="Calibri"/>
              </w:rPr>
              <w:t>tinkam</w:t>
            </w:r>
            <w:r w:rsidR="00C809C3" w:rsidRPr="00244C6F">
              <w:rPr>
                <w:rFonts w:ascii="Calibri" w:hAnsi="Calibri" w:cs="Calibri"/>
              </w:rPr>
              <w:t>omi</w:t>
            </w:r>
            <w:r w:rsidRPr="00244C6F">
              <w:rPr>
                <w:rFonts w:ascii="Calibri" w:hAnsi="Calibri" w:cs="Calibri"/>
              </w:rPr>
              <w:t>s asmenin</w:t>
            </w:r>
            <w:r w:rsidR="00C809C3" w:rsidRPr="00244C6F">
              <w:rPr>
                <w:rFonts w:ascii="Calibri" w:hAnsi="Calibri" w:cs="Calibri"/>
              </w:rPr>
              <w:t>ėmi</w:t>
            </w:r>
            <w:r w:rsidRPr="00244C6F">
              <w:rPr>
                <w:rFonts w:ascii="Calibri" w:hAnsi="Calibri" w:cs="Calibri"/>
              </w:rPr>
              <w:t>s savyb</w:t>
            </w:r>
            <w:r w:rsidR="00C809C3" w:rsidRPr="00244C6F">
              <w:rPr>
                <w:rFonts w:ascii="Calibri" w:hAnsi="Calibri" w:cs="Calibri"/>
              </w:rPr>
              <w:t>ėmi</w:t>
            </w:r>
            <w:r w:rsidRPr="00244C6F">
              <w:rPr>
                <w:rFonts w:ascii="Calibri" w:hAnsi="Calibri" w:cs="Calibri"/>
              </w:rPr>
              <w:t>s.</w:t>
            </w:r>
            <w:r w:rsidRPr="00244C6F">
              <w:rPr>
                <w:rStyle w:val="Puslapioinaosnuoroda"/>
                <w:rFonts w:ascii="Calibri" w:hAnsi="Calibri" w:cs="Calibri"/>
              </w:rPr>
              <w:footnoteReference w:id="17"/>
            </w:r>
          </w:p>
          <w:p w14:paraId="7C7A4F7E" w14:textId="77777777" w:rsidR="009451AF" w:rsidRPr="00244C6F" w:rsidRDefault="009451AF" w:rsidP="009451AF">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C108C01" w14:textId="77777777" w:rsidR="0022254B" w:rsidRPr="00244C6F" w:rsidRDefault="0022254B" w:rsidP="009451AF">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B492D82" w14:textId="77777777" w:rsidR="0022254B" w:rsidRPr="00244C6F" w:rsidRDefault="0022254B" w:rsidP="009451AF">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E5DE2F2" w14:textId="77777777" w:rsidR="00DB53FE" w:rsidRPr="00244C6F" w:rsidRDefault="00DB53FE" w:rsidP="00DB53FE">
            <w:pPr>
              <w:pStyle w:val="Sraopastraipa"/>
              <w:spacing w:after="160"/>
              <w:ind w:left="608"/>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70EB5D4" w14:textId="77777777" w:rsidR="00DB53FE" w:rsidRPr="002E641C" w:rsidRDefault="00DB53FE" w:rsidP="002E641C">
            <w:pPr>
              <w:pStyle w:val="Sraopastraipa"/>
              <w:spacing w:after="160"/>
              <w:ind w:left="608"/>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03433E9" w14:textId="4B0E2D01" w:rsidR="0022254B" w:rsidRPr="00244C6F" w:rsidRDefault="00BC0190" w:rsidP="003E2EB3">
            <w:pPr>
              <w:pStyle w:val="Sraopastraipa"/>
              <w:numPr>
                <w:ilvl w:val="0"/>
                <w:numId w:val="1"/>
              </w:numPr>
              <w:spacing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lang w:bidi="lt-LT"/>
              </w:rPr>
              <w:t>Iš v</w:t>
            </w:r>
            <w:r w:rsidR="0022254B" w:rsidRPr="00244C6F">
              <w:rPr>
                <w:rFonts w:ascii="Calibri" w:hAnsi="Calibri" w:cs="Calibri"/>
                <w:lang w:bidi="lt-LT"/>
              </w:rPr>
              <w:t>iso baudžiamasis procesas nuo ikiteisminio tyrimo pradžios iki teismo nuosprendžio įsiteisėjimo dienos truko 11 metų 6 mėnesius ir 8 dienas, o įskai</w:t>
            </w:r>
            <w:r w:rsidRPr="00244C6F">
              <w:rPr>
                <w:rFonts w:ascii="Calibri" w:hAnsi="Calibri" w:cs="Calibri"/>
                <w:lang w:bidi="lt-LT"/>
              </w:rPr>
              <w:t>čius</w:t>
            </w:r>
            <w:r w:rsidR="0022254B" w:rsidRPr="00244C6F">
              <w:rPr>
                <w:rFonts w:ascii="Calibri" w:hAnsi="Calibri" w:cs="Calibri"/>
                <w:lang w:bidi="lt-LT"/>
              </w:rPr>
              <w:t xml:space="preserve"> bylos nagrinėjimą kasacinės instancijos teisme</w:t>
            </w:r>
            <w:r w:rsidRPr="00244C6F">
              <w:rPr>
                <w:rFonts w:ascii="Calibri" w:hAnsi="Calibri" w:cs="Calibri"/>
              </w:rPr>
              <w:t> </w:t>
            </w:r>
            <w:r w:rsidR="0022254B" w:rsidRPr="00244C6F">
              <w:rPr>
                <w:rFonts w:ascii="Calibri" w:hAnsi="Calibri" w:cs="Calibri"/>
                <w:lang w:bidi="lt-LT"/>
              </w:rPr>
              <w:t>– 12 metų 3 mėnesi</w:t>
            </w:r>
            <w:r w:rsidRPr="00244C6F">
              <w:rPr>
                <w:rFonts w:ascii="Calibri" w:hAnsi="Calibri" w:cs="Calibri"/>
                <w:lang w:bidi="lt-LT"/>
              </w:rPr>
              <w:t>us</w:t>
            </w:r>
            <w:r w:rsidR="0022254B" w:rsidRPr="00244C6F">
              <w:rPr>
                <w:rFonts w:ascii="Calibri" w:hAnsi="Calibri" w:cs="Calibri"/>
                <w:lang w:bidi="lt-LT"/>
              </w:rPr>
              <w:t xml:space="preserve"> ir 13 dienų. Nustatytos aplinkybės sudaro pagrindą konstatuoti</w:t>
            </w:r>
            <w:r w:rsidRPr="00244C6F">
              <w:rPr>
                <w:rFonts w:ascii="Calibri" w:hAnsi="Calibri" w:cs="Calibri"/>
                <w:lang w:bidi="lt-LT"/>
              </w:rPr>
              <w:t>, kad</w:t>
            </w:r>
            <w:r w:rsidR="0022254B" w:rsidRPr="00244C6F">
              <w:rPr>
                <w:rFonts w:ascii="Calibri" w:hAnsi="Calibri" w:cs="Calibri"/>
                <w:lang w:bidi="lt-LT"/>
              </w:rPr>
              <w:t xml:space="preserve"> šioje civilinėje byloje </w:t>
            </w:r>
            <w:r w:rsidRPr="00244C6F">
              <w:rPr>
                <w:rFonts w:ascii="Calibri" w:hAnsi="Calibri" w:cs="Calibri"/>
                <w:lang w:bidi="lt-LT"/>
              </w:rPr>
              <w:t xml:space="preserve">buvo pažeistos </w:t>
            </w:r>
            <w:r w:rsidR="0022254B" w:rsidRPr="00244C6F">
              <w:rPr>
                <w:rFonts w:ascii="Calibri" w:hAnsi="Calibri" w:cs="Calibri"/>
                <w:lang w:bidi="lt-LT"/>
              </w:rPr>
              <w:t>ieškovo teisės į bylos nagrinėjimą per įmanomai trumpiausią laiką</w:t>
            </w:r>
            <w:r w:rsidRPr="00244C6F">
              <w:rPr>
                <w:rFonts w:ascii="Calibri" w:hAnsi="Calibri" w:cs="Calibri"/>
                <w:lang w:bidi="lt-LT"/>
              </w:rPr>
              <w:t>,</w:t>
            </w:r>
            <w:r w:rsidR="0022254B" w:rsidRPr="00244C6F">
              <w:rPr>
                <w:rFonts w:ascii="Calibri" w:hAnsi="Calibri" w:cs="Calibri"/>
                <w:lang w:bidi="lt-LT"/>
              </w:rPr>
              <w:t xml:space="preserve"> </w:t>
            </w:r>
            <w:r w:rsidRPr="00244C6F">
              <w:rPr>
                <w:rFonts w:ascii="Calibri" w:hAnsi="Calibri" w:cs="Calibri"/>
                <w:lang w:bidi="lt-LT"/>
              </w:rPr>
              <w:t>nes procesas atliekant ikiteisminį tyrimą</w:t>
            </w:r>
            <w:r w:rsidR="0022254B" w:rsidRPr="00244C6F">
              <w:rPr>
                <w:rFonts w:ascii="Calibri" w:hAnsi="Calibri" w:cs="Calibri"/>
                <w:lang w:bidi="lt-LT"/>
              </w:rPr>
              <w:t>, tai</w:t>
            </w:r>
            <w:r w:rsidR="004D2B2E" w:rsidRPr="00244C6F">
              <w:rPr>
                <w:rFonts w:ascii="Calibri" w:hAnsi="Calibri" w:cs="Calibri"/>
                <w:lang w:bidi="lt-LT"/>
              </w:rPr>
              <w:t>p</w:t>
            </w:r>
            <w:r w:rsidR="0022254B" w:rsidRPr="00244C6F">
              <w:rPr>
                <w:rFonts w:ascii="Calibri" w:hAnsi="Calibri" w:cs="Calibri"/>
                <w:lang w:bidi="lt-LT"/>
              </w:rPr>
              <w:t xml:space="preserve"> pat pirmosios instancijos ir apeliacinės instancijos teism</w:t>
            </w:r>
            <w:r w:rsidR="00E93673" w:rsidRPr="00244C6F">
              <w:rPr>
                <w:rFonts w:ascii="Calibri" w:hAnsi="Calibri" w:cs="Calibri"/>
                <w:lang w:bidi="lt-LT"/>
              </w:rPr>
              <w:t>uose buvo organizuotas</w:t>
            </w:r>
            <w:r w:rsidR="0022254B" w:rsidRPr="00244C6F">
              <w:rPr>
                <w:rFonts w:ascii="Calibri" w:hAnsi="Calibri" w:cs="Calibri"/>
                <w:lang w:bidi="lt-LT"/>
              </w:rPr>
              <w:t xml:space="preserve"> ydin</w:t>
            </w:r>
            <w:r w:rsidR="00E93673" w:rsidRPr="00244C6F">
              <w:rPr>
                <w:rFonts w:ascii="Calibri" w:hAnsi="Calibri" w:cs="Calibri"/>
                <w:lang w:bidi="lt-LT"/>
              </w:rPr>
              <w:t>gai</w:t>
            </w:r>
            <w:r w:rsidR="0022254B" w:rsidRPr="00244C6F">
              <w:rPr>
                <w:rFonts w:ascii="Calibri" w:hAnsi="Calibri" w:cs="Calibri"/>
                <w:lang w:bidi="lt-LT"/>
              </w:rPr>
              <w:t>.</w:t>
            </w:r>
            <w:r w:rsidR="0022254B" w:rsidRPr="00244C6F">
              <w:rPr>
                <w:rStyle w:val="Puslapioinaosnuoroda"/>
                <w:rFonts w:ascii="Calibri" w:hAnsi="Calibri" w:cs="Calibri"/>
                <w:lang w:bidi="lt-LT"/>
              </w:rPr>
              <w:footnoteReference w:id="18"/>
            </w:r>
          </w:p>
          <w:p w14:paraId="2695C81B" w14:textId="75CCB233" w:rsidR="003E2EB3" w:rsidRPr="002E641C" w:rsidRDefault="00FD7C0E" w:rsidP="002E641C">
            <w:pPr>
              <w:pStyle w:val="Sraopastraipa"/>
              <w:numPr>
                <w:ilvl w:val="0"/>
                <w:numId w:val="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Išanalizavus</w:t>
            </w:r>
            <w:r w:rsidR="0022254B" w:rsidRPr="00244C6F">
              <w:rPr>
                <w:rFonts w:ascii="Calibri" w:hAnsi="Calibri" w:cs="Calibri"/>
              </w:rPr>
              <w:t xml:space="preserve"> baudžiamosios bylos nagrinėjim</w:t>
            </w:r>
            <w:r w:rsidRPr="00244C6F">
              <w:rPr>
                <w:rFonts w:ascii="Calibri" w:hAnsi="Calibri" w:cs="Calibri"/>
              </w:rPr>
              <w:t>ą</w:t>
            </w:r>
            <w:r w:rsidR="00A050C4" w:rsidRPr="00244C6F">
              <w:rPr>
                <w:rFonts w:ascii="Calibri" w:hAnsi="Calibri" w:cs="Calibri"/>
              </w:rPr>
              <w:t>, trukus</w:t>
            </w:r>
            <w:r w:rsidRPr="00244C6F">
              <w:rPr>
                <w:rFonts w:ascii="Calibri" w:hAnsi="Calibri" w:cs="Calibri"/>
              </w:rPr>
              <w:t>į</w:t>
            </w:r>
            <w:r w:rsidR="0022254B" w:rsidRPr="00244C6F">
              <w:rPr>
                <w:rFonts w:ascii="Calibri" w:hAnsi="Calibri" w:cs="Calibri"/>
              </w:rPr>
              <w:t xml:space="preserve"> 11 metų</w:t>
            </w:r>
            <w:r w:rsidR="00A050C4" w:rsidRPr="00244C6F">
              <w:rPr>
                <w:rFonts w:ascii="Calibri" w:hAnsi="Calibri" w:cs="Calibri"/>
              </w:rPr>
              <w:t>, nustatyta, kad</w:t>
            </w:r>
            <w:r w:rsidR="0022254B" w:rsidRPr="00244C6F">
              <w:rPr>
                <w:rFonts w:ascii="Calibri" w:hAnsi="Calibri" w:cs="Calibri"/>
              </w:rPr>
              <w:t xml:space="preserve"> atitinkamu laikotarpiu (vasaros mėnesiais) baudžiamoji byla nebuvo nagrinėjama dėl bylą nagrinėjusio teisėjo ir kaltinamųjų gynėjų užimtumo (suplanuotų atostogų). </w:t>
            </w:r>
            <w:r w:rsidR="00C36E98" w:rsidRPr="00244C6F">
              <w:rPr>
                <w:rFonts w:ascii="Calibri" w:hAnsi="Calibri" w:cs="Calibri"/>
              </w:rPr>
              <w:t xml:space="preserve">Kadangi </w:t>
            </w:r>
            <w:r w:rsidR="0022254B" w:rsidRPr="00244C6F">
              <w:rPr>
                <w:rFonts w:ascii="Calibri" w:hAnsi="Calibri" w:cs="Calibri"/>
              </w:rPr>
              <w:t>BPK 234, 243 ar 244 straipsni</w:t>
            </w:r>
            <w:r w:rsidR="00D44D8C">
              <w:rPr>
                <w:rFonts w:ascii="Calibri" w:hAnsi="Calibri" w:cs="Calibri"/>
              </w:rPr>
              <w:t>s</w:t>
            </w:r>
            <w:r w:rsidR="0022254B" w:rsidRPr="00244C6F">
              <w:rPr>
                <w:rFonts w:ascii="Calibri" w:hAnsi="Calibri" w:cs="Calibri"/>
              </w:rPr>
              <w:t xml:space="preserve"> nenumato bylos nagrinėjimo atidėjimo ar pertraukos paskelbimo dėl kaltinamųjų gynėjų atostogų, </w:t>
            </w:r>
            <w:r w:rsidR="00C36E98" w:rsidRPr="00244C6F">
              <w:rPr>
                <w:rFonts w:ascii="Calibri" w:hAnsi="Calibri" w:cs="Calibri"/>
              </w:rPr>
              <w:t>pripažinta</w:t>
            </w:r>
            <w:r w:rsidR="0022254B" w:rsidRPr="00244C6F">
              <w:rPr>
                <w:rFonts w:ascii="Calibri" w:hAnsi="Calibri" w:cs="Calibri"/>
              </w:rPr>
              <w:t xml:space="preserve">, </w:t>
            </w:r>
            <w:r w:rsidR="00C36E98" w:rsidRPr="00244C6F">
              <w:rPr>
                <w:rFonts w:ascii="Calibri" w:hAnsi="Calibri" w:cs="Calibri"/>
              </w:rPr>
              <w:t xml:space="preserve">kad </w:t>
            </w:r>
            <w:r w:rsidR="0022254B" w:rsidRPr="00244C6F">
              <w:rPr>
                <w:rFonts w:ascii="Calibri" w:hAnsi="Calibri" w:cs="Calibri"/>
              </w:rPr>
              <w:t>baudžiamosios bylos nagrinėjimo pirmosios instancijos teisme metu</w:t>
            </w:r>
            <w:r w:rsidR="006A426F" w:rsidRPr="00244C6F">
              <w:rPr>
                <w:rFonts w:ascii="Calibri" w:hAnsi="Calibri" w:cs="Calibri"/>
              </w:rPr>
              <w:t>,</w:t>
            </w:r>
            <w:r w:rsidR="0022254B" w:rsidRPr="00244C6F">
              <w:rPr>
                <w:rFonts w:ascii="Calibri" w:hAnsi="Calibri" w:cs="Calibri"/>
              </w:rPr>
              <w:t xml:space="preserve"> atidedant bylos nagrinėjimą ar skelbiant bylos nagrinėjimo pertraukas</w:t>
            </w:r>
            <w:r w:rsidR="006A426F" w:rsidRPr="00244C6F">
              <w:rPr>
                <w:rFonts w:ascii="Calibri" w:hAnsi="Calibri" w:cs="Calibri"/>
              </w:rPr>
              <w:t>,</w:t>
            </w:r>
            <w:r w:rsidR="0022254B" w:rsidRPr="00244C6F">
              <w:rPr>
                <w:rFonts w:ascii="Calibri" w:hAnsi="Calibri" w:cs="Calibri"/>
              </w:rPr>
              <w:t xml:space="preserve"> buvo nesilaikoma BPK 234, 243 ar 244 straipsni</w:t>
            </w:r>
            <w:r w:rsidR="00E07B5A" w:rsidRPr="00244C6F">
              <w:rPr>
                <w:rFonts w:ascii="Calibri" w:hAnsi="Calibri" w:cs="Calibri"/>
              </w:rPr>
              <w:t>o</w:t>
            </w:r>
            <w:r w:rsidR="0022254B" w:rsidRPr="00244C6F">
              <w:rPr>
                <w:rFonts w:ascii="Calibri" w:hAnsi="Calibri" w:cs="Calibri"/>
              </w:rPr>
              <w:t xml:space="preserve"> nuostatų.</w:t>
            </w:r>
            <w:r w:rsidR="0022254B" w:rsidRPr="00244C6F">
              <w:rPr>
                <w:rFonts w:ascii="Calibri" w:hAnsi="Calibri" w:cs="Calibri"/>
                <w:vertAlign w:val="superscript"/>
              </w:rPr>
              <w:footnoteReference w:id="19"/>
            </w:r>
          </w:p>
        </w:tc>
      </w:tr>
      <w:tr w:rsidR="005F1E77" w:rsidRPr="00244C6F" w14:paraId="475FF62B" w14:textId="77777777" w:rsidTr="00183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vAlign w:val="center"/>
          </w:tcPr>
          <w:p w14:paraId="4F04F2FD" w14:textId="77777777" w:rsidR="005F1E77" w:rsidRPr="00244C6F" w:rsidRDefault="005F1E77" w:rsidP="005F1E77">
            <w:pPr>
              <w:jc w:val="center"/>
              <w:rPr>
                <w:rFonts w:ascii="Calibri" w:hAnsi="Calibri" w:cs="Calibri"/>
              </w:rPr>
            </w:pPr>
          </w:p>
        </w:tc>
        <w:tc>
          <w:tcPr>
            <w:tcW w:w="7423" w:type="dxa"/>
          </w:tcPr>
          <w:p w14:paraId="0BEABCF7" w14:textId="08C0AE5C" w:rsidR="005F1E77" w:rsidRPr="00244C6F" w:rsidRDefault="005F1E77" w:rsidP="005F1E77">
            <w:pPr>
              <w:pStyle w:val="Sraopastraipa"/>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44C6F">
              <w:rPr>
                <w:rFonts w:ascii="Calibri" w:hAnsi="Calibri" w:cs="Calibri"/>
                <w:b/>
                <w:bCs/>
              </w:rPr>
              <w:t>Administracinėse bylose</w:t>
            </w:r>
          </w:p>
        </w:tc>
      </w:tr>
      <w:tr w:rsidR="005F1E77" w:rsidRPr="00244C6F" w14:paraId="5B8A3829" w14:textId="77777777" w:rsidTr="00183C7B">
        <w:tc>
          <w:tcPr>
            <w:cnfStyle w:val="001000000000" w:firstRow="0" w:lastRow="0" w:firstColumn="1" w:lastColumn="0" w:oddVBand="0" w:evenVBand="0" w:oddHBand="0" w:evenHBand="0" w:firstRowFirstColumn="0" w:firstRowLastColumn="0" w:lastRowFirstColumn="0" w:lastRowLastColumn="0"/>
            <w:tcW w:w="2211" w:type="dxa"/>
            <w:vMerge/>
            <w:vAlign w:val="center"/>
          </w:tcPr>
          <w:p w14:paraId="21BCFC2D" w14:textId="1F9F67D3" w:rsidR="005F1E77" w:rsidRPr="00244C6F" w:rsidRDefault="005F1E77" w:rsidP="005F1E77">
            <w:pPr>
              <w:jc w:val="center"/>
              <w:rPr>
                <w:rFonts w:ascii="Calibri" w:hAnsi="Calibri" w:cs="Calibri"/>
              </w:rPr>
            </w:pPr>
          </w:p>
        </w:tc>
        <w:tc>
          <w:tcPr>
            <w:tcW w:w="7423" w:type="dxa"/>
          </w:tcPr>
          <w:p w14:paraId="772B7EF9" w14:textId="0EB5C7D2" w:rsidR="0038586F" w:rsidRPr="00244C6F" w:rsidRDefault="005F1E77" w:rsidP="0038586F">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Pareiškėjo patirta žala, susijusi su automobilio praradimu realizuojant jį trečiajam asmeniui, pagal savo pobūdį tiesiogiai </w:t>
            </w:r>
            <w:r w:rsidRPr="00244C6F">
              <w:rPr>
                <w:rFonts w:ascii="Calibri" w:hAnsi="Calibri" w:cs="Calibri"/>
              </w:rPr>
              <w:lastRenderedPageBreak/>
              <w:t xml:space="preserve">sietina su atsakovo neteisėtais veiksmais – už </w:t>
            </w:r>
            <w:r w:rsidR="006263F3" w:rsidRPr="00244C6F">
              <w:rPr>
                <w:rFonts w:ascii="Calibri" w:hAnsi="Calibri" w:cs="Calibri"/>
              </w:rPr>
              <w:t xml:space="preserve">padarytus </w:t>
            </w:r>
            <w:r w:rsidRPr="00244C6F">
              <w:rPr>
                <w:rFonts w:ascii="Calibri" w:hAnsi="Calibri" w:cs="Calibri"/>
              </w:rPr>
              <w:t>administracini</w:t>
            </w:r>
            <w:r w:rsidR="006263F3" w:rsidRPr="00244C6F">
              <w:rPr>
                <w:rFonts w:ascii="Calibri" w:hAnsi="Calibri" w:cs="Calibri"/>
              </w:rPr>
              <w:t>us</w:t>
            </w:r>
            <w:r w:rsidRPr="00244C6F">
              <w:rPr>
                <w:rFonts w:ascii="Calibri" w:hAnsi="Calibri" w:cs="Calibri"/>
              </w:rPr>
              <w:t xml:space="preserve"> nusižengim</w:t>
            </w:r>
            <w:r w:rsidR="006263F3" w:rsidRPr="00244C6F">
              <w:rPr>
                <w:rFonts w:ascii="Calibri" w:hAnsi="Calibri" w:cs="Calibri"/>
              </w:rPr>
              <w:t>us</w:t>
            </w:r>
            <w:r w:rsidRPr="00244C6F">
              <w:rPr>
                <w:rFonts w:ascii="Calibri" w:hAnsi="Calibri" w:cs="Calibri"/>
              </w:rPr>
              <w:t xml:space="preserve"> </w:t>
            </w:r>
            <w:r w:rsidR="000D76EB" w:rsidRPr="00244C6F">
              <w:rPr>
                <w:rFonts w:ascii="Calibri" w:hAnsi="Calibri" w:cs="Calibri"/>
              </w:rPr>
              <w:t xml:space="preserve">turėjo būti skirta ne </w:t>
            </w:r>
            <w:r w:rsidRPr="00244C6F">
              <w:rPr>
                <w:rFonts w:ascii="Calibri" w:hAnsi="Calibri" w:cs="Calibri"/>
              </w:rPr>
              <w:t>administracinio poveikio priemon</w:t>
            </w:r>
            <w:r w:rsidR="000D76EB" w:rsidRPr="00244C6F">
              <w:rPr>
                <w:rFonts w:ascii="Calibri" w:hAnsi="Calibri" w:cs="Calibri"/>
              </w:rPr>
              <w:t xml:space="preserve">ė </w:t>
            </w:r>
            <w:r w:rsidR="00B7635C" w:rsidRPr="00244C6F">
              <w:rPr>
                <w:rFonts w:ascii="Calibri" w:hAnsi="Calibri" w:cs="Calibri"/>
              </w:rPr>
              <w:t xml:space="preserve">konfiskuoti </w:t>
            </w:r>
            <w:r w:rsidRPr="00244C6F">
              <w:rPr>
                <w:rFonts w:ascii="Calibri" w:hAnsi="Calibri" w:cs="Calibri"/>
              </w:rPr>
              <w:t>transporto priemon</w:t>
            </w:r>
            <w:r w:rsidR="00B7635C" w:rsidRPr="00244C6F">
              <w:rPr>
                <w:rFonts w:ascii="Calibri" w:hAnsi="Calibri" w:cs="Calibri"/>
              </w:rPr>
              <w:t>ę</w:t>
            </w:r>
            <w:r w:rsidRPr="00244C6F">
              <w:rPr>
                <w:rFonts w:ascii="Calibri" w:hAnsi="Calibri" w:cs="Calibri"/>
              </w:rPr>
              <w:t xml:space="preserve">, kurios savininkas pareiškėjas, </w:t>
            </w:r>
            <w:r w:rsidR="000D76EB" w:rsidRPr="00244C6F">
              <w:rPr>
                <w:rFonts w:ascii="Calibri" w:hAnsi="Calibri" w:cs="Calibri"/>
              </w:rPr>
              <w:t xml:space="preserve">o </w:t>
            </w:r>
            <w:r w:rsidRPr="00244C6F">
              <w:rPr>
                <w:rFonts w:ascii="Calibri" w:hAnsi="Calibri" w:cs="Calibri"/>
              </w:rPr>
              <w:t xml:space="preserve">administracinio poveikio priemonė </w:t>
            </w:r>
            <w:r w:rsidR="00B7635C" w:rsidRPr="00244C6F">
              <w:rPr>
                <w:rFonts w:ascii="Calibri" w:hAnsi="Calibri" w:cs="Calibri"/>
              </w:rPr>
              <w:t xml:space="preserve">konfiskuoti </w:t>
            </w:r>
            <w:r w:rsidRPr="00244C6F">
              <w:rPr>
                <w:rFonts w:ascii="Calibri" w:hAnsi="Calibri" w:cs="Calibri"/>
              </w:rPr>
              <w:t>transporto priemonės rinkos vertę atitinkanči</w:t>
            </w:r>
            <w:r w:rsidR="00B7635C" w:rsidRPr="00244C6F">
              <w:rPr>
                <w:rFonts w:ascii="Calibri" w:hAnsi="Calibri" w:cs="Calibri"/>
              </w:rPr>
              <w:t>ą</w:t>
            </w:r>
            <w:r w:rsidRPr="00244C6F">
              <w:rPr>
                <w:rFonts w:ascii="Calibri" w:hAnsi="Calibri" w:cs="Calibri"/>
              </w:rPr>
              <w:t xml:space="preserve"> pinigų sum</w:t>
            </w:r>
            <w:r w:rsidR="00B7635C" w:rsidRPr="00244C6F">
              <w:rPr>
                <w:rFonts w:ascii="Calibri" w:hAnsi="Calibri" w:cs="Calibri"/>
              </w:rPr>
              <w:t>ą.</w:t>
            </w:r>
            <w:r w:rsidRPr="00244C6F">
              <w:rPr>
                <w:rStyle w:val="Puslapioinaosnuoroda"/>
                <w:rFonts w:ascii="Calibri" w:hAnsi="Calibri" w:cs="Calibri"/>
              </w:rPr>
              <w:footnoteReference w:id="20"/>
            </w:r>
          </w:p>
          <w:p w14:paraId="13699B98" w14:textId="77777777" w:rsidR="005A3C51" w:rsidRPr="00244C6F" w:rsidRDefault="005A3C51" w:rsidP="005A3C51">
            <w:pPr>
              <w:pStyle w:val="Sraopastraipa"/>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106F12F" w14:textId="09651F30" w:rsidR="0038586F" w:rsidRPr="00244C6F" w:rsidRDefault="0038586F" w:rsidP="0098034B">
            <w:pPr>
              <w:pStyle w:val="Sraopastraipa"/>
              <w:numPr>
                <w:ilvl w:val="0"/>
                <w:numId w:val="7"/>
              </w:numPr>
              <w:spacing w:after="16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Klaipėdos apskrities vyriausiasis policijos komisariatas atliko neteisėtus veiksmus – nutarimai neišsamūs, priimti neištyrus ir neįvertinus visų įrodymų, neatlikus visų būtinų veiksmų,</w:t>
            </w:r>
            <w:r w:rsidR="00BA3874" w:rsidRPr="00244C6F">
              <w:rPr>
                <w:rFonts w:ascii="Calibri" w:hAnsi="Calibri" w:cs="Calibri"/>
              </w:rPr>
              <w:t xml:space="preserve"> kuriais</w:t>
            </w:r>
            <w:r w:rsidRPr="00244C6F">
              <w:rPr>
                <w:rFonts w:ascii="Calibri" w:hAnsi="Calibri" w:cs="Calibri"/>
              </w:rPr>
              <w:t xml:space="preserve"> siekia</w:t>
            </w:r>
            <w:r w:rsidR="00BA3874" w:rsidRPr="00244C6F">
              <w:rPr>
                <w:rFonts w:ascii="Calibri" w:hAnsi="Calibri" w:cs="Calibri"/>
              </w:rPr>
              <w:t>ma</w:t>
            </w:r>
            <w:r w:rsidRPr="00244C6F">
              <w:rPr>
                <w:rFonts w:ascii="Calibri" w:hAnsi="Calibri" w:cs="Calibri"/>
              </w:rPr>
              <w:t xml:space="preserve"> išsiaiškinti, ar buvo padarytas administracinis nusižengimas, t.</w:t>
            </w:r>
            <w:r w:rsidR="00BA3874" w:rsidRPr="00244C6F">
              <w:rPr>
                <w:rFonts w:ascii="Calibri" w:hAnsi="Calibri" w:cs="Calibri"/>
              </w:rPr>
              <w:t> </w:t>
            </w:r>
            <w:r w:rsidRPr="00244C6F">
              <w:rPr>
                <w:rFonts w:ascii="Calibri" w:hAnsi="Calibri" w:cs="Calibri"/>
              </w:rPr>
              <w:t xml:space="preserve">y. </w:t>
            </w:r>
            <w:r w:rsidR="00851769" w:rsidRPr="00244C6F">
              <w:rPr>
                <w:rFonts w:ascii="Calibri" w:hAnsi="Calibri" w:cs="Calibri"/>
              </w:rPr>
              <w:t xml:space="preserve">aplinkybės nebuvo tirtos </w:t>
            </w:r>
            <w:r w:rsidRPr="00244C6F">
              <w:rPr>
                <w:rFonts w:ascii="Calibri" w:hAnsi="Calibri" w:cs="Calibri"/>
              </w:rPr>
              <w:t xml:space="preserve">visapusiškai ir objektyviai, </w:t>
            </w:r>
            <w:r w:rsidR="00851769" w:rsidRPr="00244C6F">
              <w:rPr>
                <w:rFonts w:ascii="Calibri" w:hAnsi="Calibri" w:cs="Calibri"/>
              </w:rPr>
              <w:t>o teisiškai reikšming</w:t>
            </w:r>
            <w:r w:rsidR="00E53A27" w:rsidRPr="00244C6F">
              <w:rPr>
                <w:rFonts w:ascii="Calibri" w:hAnsi="Calibri" w:cs="Calibri"/>
              </w:rPr>
              <w:t>o</w:t>
            </w:r>
            <w:r w:rsidR="00851769" w:rsidRPr="00244C6F">
              <w:rPr>
                <w:rFonts w:ascii="Calibri" w:hAnsi="Calibri" w:cs="Calibri"/>
              </w:rPr>
              <w:t xml:space="preserve">s aplinkybės nustatytos </w:t>
            </w:r>
            <w:r w:rsidRPr="00244C6F">
              <w:rPr>
                <w:rFonts w:ascii="Calibri" w:hAnsi="Calibri" w:cs="Calibri"/>
              </w:rPr>
              <w:t>nepagrįstai</w:t>
            </w:r>
            <w:r w:rsidR="00851769" w:rsidRPr="00244C6F">
              <w:rPr>
                <w:rFonts w:ascii="Calibri" w:hAnsi="Calibri" w:cs="Calibri"/>
              </w:rPr>
              <w:t xml:space="preserve"> ir</w:t>
            </w:r>
            <w:r w:rsidRPr="00244C6F">
              <w:rPr>
                <w:rFonts w:ascii="Calibri" w:hAnsi="Calibri" w:cs="Calibri"/>
              </w:rPr>
              <w:t xml:space="preserve"> netinkamai</w:t>
            </w:r>
            <w:r w:rsidR="00851769" w:rsidRPr="00244C6F">
              <w:rPr>
                <w:rFonts w:ascii="Calibri" w:hAnsi="Calibri" w:cs="Calibri"/>
              </w:rPr>
              <w:t>.</w:t>
            </w:r>
            <w:r w:rsidRPr="00244C6F">
              <w:rPr>
                <w:rFonts w:ascii="Calibri" w:hAnsi="Calibri" w:cs="Calibri"/>
                <w:vertAlign w:val="superscript"/>
              </w:rPr>
              <w:footnoteReference w:id="21"/>
            </w:r>
          </w:p>
          <w:p w14:paraId="35642C42" w14:textId="77777777" w:rsidR="00C0778C" w:rsidRPr="00244C6F" w:rsidRDefault="00C0778C" w:rsidP="00C0778C">
            <w:pPr>
              <w:pStyle w:val="Sraopastraipa"/>
              <w:spacing w:after="160" w:line="278" w:lineRule="auto"/>
              <w:ind w:left="608"/>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DFF7160" w14:textId="22A90681" w:rsidR="0080159F" w:rsidRPr="00244C6F" w:rsidRDefault="005F1E77" w:rsidP="0098034B">
            <w:pPr>
              <w:pStyle w:val="Sraopastraipa"/>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Nacionalinė žemės tarnyba </w:t>
            </w:r>
            <w:r w:rsidR="00E53A27" w:rsidRPr="00244C6F">
              <w:rPr>
                <w:rFonts w:ascii="Calibri" w:hAnsi="Calibri" w:cs="Calibri"/>
              </w:rPr>
              <w:t xml:space="preserve">apie priimtus administracinius aktus </w:t>
            </w:r>
            <w:r w:rsidRPr="00244C6F">
              <w:rPr>
                <w:rFonts w:ascii="Calibri" w:hAnsi="Calibri" w:cs="Calibri"/>
              </w:rPr>
              <w:t xml:space="preserve">nepagrįstai </w:t>
            </w:r>
            <w:r w:rsidR="00E53A27" w:rsidRPr="00244C6F">
              <w:rPr>
                <w:rFonts w:ascii="Calibri" w:hAnsi="Calibri" w:cs="Calibri"/>
              </w:rPr>
              <w:t xml:space="preserve">nepranešė </w:t>
            </w:r>
            <w:r w:rsidRPr="00244C6F">
              <w:rPr>
                <w:rFonts w:ascii="Calibri" w:hAnsi="Calibri" w:cs="Calibri"/>
              </w:rPr>
              <w:t>asmen</w:t>
            </w:r>
            <w:r w:rsidR="00E53A27" w:rsidRPr="00244C6F">
              <w:rPr>
                <w:rFonts w:ascii="Calibri" w:hAnsi="Calibri" w:cs="Calibri"/>
              </w:rPr>
              <w:t>ims</w:t>
            </w:r>
            <w:r w:rsidRPr="00244C6F">
              <w:rPr>
                <w:rFonts w:ascii="Calibri" w:hAnsi="Calibri" w:cs="Calibri"/>
              </w:rPr>
              <w:t>, kurių interesams tie sprendimai tur</w:t>
            </w:r>
            <w:r w:rsidR="00E53A27" w:rsidRPr="00244C6F">
              <w:rPr>
                <w:rFonts w:ascii="Calibri" w:hAnsi="Calibri" w:cs="Calibri"/>
              </w:rPr>
              <w:t>ėjo</w:t>
            </w:r>
            <w:r w:rsidRPr="00244C6F">
              <w:rPr>
                <w:rFonts w:ascii="Calibri" w:hAnsi="Calibri" w:cs="Calibri"/>
              </w:rPr>
              <w:t xml:space="preserve"> įtakos; taip pat suinteresuotiems asmenims nebuvo </w:t>
            </w:r>
            <w:r w:rsidR="00E53A27" w:rsidRPr="00244C6F">
              <w:rPr>
                <w:rFonts w:ascii="Calibri" w:hAnsi="Calibri" w:cs="Calibri"/>
              </w:rPr>
              <w:t>suteikt</w:t>
            </w:r>
            <w:r w:rsidR="00BC55B1">
              <w:rPr>
                <w:rFonts w:ascii="Calibri" w:hAnsi="Calibri" w:cs="Calibri"/>
              </w:rPr>
              <w:t>a</w:t>
            </w:r>
            <w:r w:rsidR="00E53A27" w:rsidRPr="00244C6F">
              <w:rPr>
                <w:rFonts w:ascii="Calibri" w:hAnsi="Calibri" w:cs="Calibri"/>
              </w:rPr>
              <w:t xml:space="preserve"> </w:t>
            </w:r>
            <w:r w:rsidRPr="00244C6F">
              <w:rPr>
                <w:rFonts w:ascii="Calibri" w:hAnsi="Calibri" w:cs="Calibri"/>
              </w:rPr>
              <w:t>galimybė pasisakyti dėl priimtų sprendimų.</w:t>
            </w:r>
            <w:r w:rsidRPr="00244C6F">
              <w:rPr>
                <w:rStyle w:val="Puslapioinaosnuoroda"/>
                <w:rFonts w:ascii="Calibri" w:hAnsi="Calibri" w:cs="Calibri"/>
              </w:rPr>
              <w:footnoteReference w:id="22"/>
            </w:r>
          </w:p>
          <w:p w14:paraId="3C9C6084" w14:textId="74D15B41" w:rsidR="005F1E77" w:rsidRPr="00244C6F" w:rsidRDefault="007D027D" w:rsidP="0098034B">
            <w:pPr>
              <w:pStyle w:val="Sraopastraipa"/>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P</w:t>
            </w:r>
            <w:r w:rsidR="005F1E77" w:rsidRPr="00244C6F">
              <w:rPr>
                <w:rFonts w:ascii="Calibri" w:hAnsi="Calibri" w:cs="Calibri"/>
              </w:rPr>
              <w:t>areiškėjas nebuvo tinkamai informuotas</w:t>
            </w:r>
            <w:r w:rsidR="00C86FB2" w:rsidRPr="00244C6F">
              <w:rPr>
                <w:rFonts w:ascii="Calibri" w:hAnsi="Calibri" w:cs="Calibri"/>
              </w:rPr>
              <w:t xml:space="preserve"> apie priimtą sprendimą: </w:t>
            </w:r>
            <w:r w:rsidR="00B37983" w:rsidRPr="00244C6F">
              <w:rPr>
                <w:rFonts w:ascii="Calibri" w:hAnsi="Calibri" w:cs="Calibri"/>
              </w:rPr>
              <w:t xml:space="preserve">kadangi </w:t>
            </w:r>
            <w:r w:rsidR="00C86FB2" w:rsidRPr="00244C6F">
              <w:rPr>
                <w:rFonts w:ascii="Calibri" w:hAnsi="Calibri" w:cs="Calibri"/>
              </w:rPr>
              <w:t xml:space="preserve">techninės apžiūros rezultatų kortelėje </w:t>
            </w:r>
            <w:r w:rsidR="005F1E77" w:rsidRPr="00244C6F">
              <w:rPr>
                <w:rFonts w:ascii="Calibri" w:hAnsi="Calibri" w:cs="Calibri"/>
              </w:rPr>
              <w:t xml:space="preserve">nebuvo </w:t>
            </w:r>
            <w:r w:rsidR="00C86FB2" w:rsidRPr="00244C6F">
              <w:rPr>
                <w:rFonts w:ascii="Calibri" w:hAnsi="Calibri" w:cs="Calibri"/>
              </w:rPr>
              <w:t xml:space="preserve">įstrižai </w:t>
            </w:r>
            <w:r w:rsidR="005F1E77" w:rsidRPr="00244C6F">
              <w:rPr>
                <w:rFonts w:ascii="Calibri" w:hAnsi="Calibri" w:cs="Calibri"/>
              </w:rPr>
              <w:t xml:space="preserve">perbraukta ir užrašyta ANULIUOTA, pareiškėjas toliau eksploatavo </w:t>
            </w:r>
            <w:r w:rsidR="00C86FB2" w:rsidRPr="00244C6F">
              <w:rPr>
                <w:rFonts w:ascii="Calibri" w:hAnsi="Calibri" w:cs="Calibri"/>
              </w:rPr>
              <w:t>t</w:t>
            </w:r>
            <w:r w:rsidR="005F1E77" w:rsidRPr="00244C6F">
              <w:rPr>
                <w:rFonts w:ascii="Calibri" w:hAnsi="Calibri" w:cs="Calibri"/>
              </w:rPr>
              <w:t>ransporto priemonę</w:t>
            </w:r>
            <w:r w:rsidR="00C86FB2" w:rsidRPr="00244C6F">
              <w:rPr>
                <w:rFonts w:ascii="Calibri" w:hAnsi="Calibri" w:cs="Calibri"/>
              </w:rPr>
              <w:t>.</w:t>
            </w:r>
            <w:r w:rsidR="005F1E77" w:rsidRPr="00244C6F">
              <w:rPr>
                <w:rFonts w:ascii="Calibri" w:hAnsi="Calibri" w:cs="Calibri"/>
              </w:rPr>
              <w:t xml:space="preserve"> </w:t>
            </w:r>
            <w:r w:rsidR="00C86FB2" w:rsidRPr="00244C6F">
              <w:rPr>
                <w:rFonts w:ascii="Calibri" w:hAnsi="Calibri" w:cs="Calibri"/>
              </w:rPr>
              <w:t>S</w:t>
            </w:r>
            <w:r w:rsidR="005F1E77" w:rsidRPr="00244C6F">
              <w:rPr>
                <w:rFonts w:ascii="Calibri" w:hAnsi="Calibri" w:cs="Calibri"/>
              </w:rPr>
              <w:t xml:space="preserve">prendimas priimtas pažeidžiant pagrindines procedūras, turėjusias užtikrinti objektyvų visų aplinkybių įvertinimą ir sprendimo pagrįstumą; Kauno </w:t>
            </w:r>
            <w:r w:rsidR="006340F8">
              <w:rPr>
                <w:rFonts w:ascii="Calibri" w:hAnsi="Calibri" w:cs="Calibri"/>
              </w:rPr>
              <w:t>apskrities vyriausi</w:t>
            </w:r>
            <w:r w:rsidR="00077DFF">
              <w:rPr>
                <w:rFonts w:ascii="Calibri" w:hAnsi="Calibri" w:cs="Calibri"/>
              </w:rPr>
              <w:t>asis</w:t>
            </w:r>
            <w:r w:rsidR="006340F8">
              <w:rPr>
                <w:rFonts w:ascii="Calibri" w:hAnsi="Calibri" w:cs="Calibri"/>
              </w:rPr>
              <w:t xml:space="preserve"> policijos komisariatas</w:t>
            </w:r>
            <w:r w:rsidR="005F1E77" w:rsidRPr="00244C6F">
              <w:rPr>
                <w:rFonts w:ascii="Calibri" w:hAnsi="Calibri" w:cs="Calibri"/>
              </w:rPr>
              <w:t xml:space="preserve"> pažeidė Aprašo</w:t>
            </w:r>
            <w:r w:rsidR="005F1E77" w:rsidRPr="00244C6F">
              <w:rPr>
                <w:rStyle w:val="Puslapioinaosnuoroda"/>
                <w:rFonts w:ascii="Calibri" w:hAnsi="Calibri" w:cs="Calibri"/>
              </w:rPr>
              <w:footnoteReference w:id="23"/>
            </w:r>
            <w:r w:rsidR="005F1E77" w:rsidRPr="00244C6F">
              <w:rPr>
                <w:rFonts w:ascii="Calibri" w:hAnsi="Calibri" w:cs="Calibri"/>
              </w:rPr>
              <w:t xml:space="preserve"> 5, 6 ir 7 p</w:t>
            </w:r>
            <w:r w:rsidR="006B5F15" w:rsidRPr="00244C6F">
              <w:rPr>
                <w:rFonts w:ascii="Calibri" w:hAnsi="Calibri" w:cs="Calibri"/>
              </w:rPr>
              <w:t>unktus</w:t>
            </w:r>
            <w:r w:rsidR="005F1E77" w:rsidRPr="00244C6F">
              <w:rPr>
                <w:rFonts w:ascii="Calibri" w:hAnsi="Calibri" w:cs="Calibri"/>
              </w:rPr>
              <w:t>, taip pat VAĮ</w:t>
            </w:r>
            <w:r w:rsidR="005F1E77" w:rsidRPr="00244C6F">
              <w:rPr>
                <w:rStyle w:val="Puslapioinaosnuoroda"/>
                <w:rFonts w:ascii="Calibri" w:hAnsi="Calibri" w:cs="Calibri"/>
              </w:rPr>
              <w:footnoteReference w:id="24"/>
            </w:r>
            <w:r w:rsidR="005F1E77" w:rsidRPr="00244C6F">
              <w:rPr>
                <w:rFonts w:ascii="Calibri" w:hAnsi="Calibri" w:cs="Calibri"/>
              </w:rPr>
              <w:t xml:space="preserve"> 10 str</w:t>
            </w:r>
            <w:r w:rsidR="006B5F15" w:rsidRPr="00244C6F">
              <w:rPr>
                <w:rFonts w:ascii="Calibri" w:hAnsi="Calibri" w:cs="Calibri"/>
              </w:rPr>
              <w:t>aipsnio</w:t>
            </w:r>
            <w:r w:rsidR="005F1E77" w:rsidRPr="00244C6F">
              <w:rPr>
                <w:rFonts w:ascii="Calibri" w:hAnsi="Calibri" w:cs="Calibri"/>
              </w:rPr>
              <w:t xml:space="preserve"> 5 d</w:t>
            </w:r>
            <w:r w:rsidR="00293699" w:rsidRPr="00244C6F">
              <w:rPr>
                <w:rFonts w:ascii="Calibri" w:hAnsi="Calibri" w:cs="Calibri"/>
              </w:rPr>
              <w:t>alies</w:t>
            </w:r>
            <w:r w:rsidR="005F1E77" w:rsidRPr="00244C6F">
              <w:rPr>
                <w:rFonts w:ascii="Calibri" w:hAnsi="Calibri" w:cs="Calibri"/>
              </w:rPr>
              <w:t xml:space="preserve"> reikalavimus</w:t>
            </w:r>
            <w:r w:rsidR="00370176" w:rsidRPr="00244C6F">
              <w:rPr>
                <w:rFonts w:ascii="Calibri" w:hAnsi="Calibri" w:cs="Calibri"/>
              </w:rPr>
              <w:t xml:space="preserve">, </w:t>
            </w:r>
            <w:r w:rsidR="00DC284C" w:rsidRPr="00244C6F">
              <w:rPr>
                <w:rFonts w:ascii="Calibri" w:hAnsi="Calibri" w:cs="Calibri"/>
              </w:rPr>
              <w:t xml:space="preserve">todėl </w:t>
            </w:r>
            <w:r w:rsidR="005F1E77" w:rsidRPr="00244C6F">
              <w:rPr>
                <w:rFonts w:ascii="Calibri" w:hAnsi="Calibri" w:cs="Calibri"/>
              </w:rPr>
              <w:t>nustatyti</w:t>
            </w:r>
            <w:r w:rsidR="00370176" w:rsidRPr="00244C6F">
              <w:rPr>
                <w:rFonts w:ascii="Calibri" w:hAnsi="Calibri" w:cs="Calibri"/>
              </w:rPr>
              <w:t xml:space="preserve"> neteisėti veiksmai</w:t>
            </w:r>
            <w:r w:rsidR="005F1E77" w:rsidRPr="00244C6F">
              <w:rPr>
                <w:rFonts w:ascii="Calibri" w:hAnsi="Calibri" w:cs="Calibri"/>
              </w:rPr>
              <w:t>.</w:t>
            </w:r>
            <w:r w:rsidR="005F1E77" w:rsidRPr="00244C6F">
              <w:rPr>
                <w:rStyle w:val="Puslapioinaosnuoroda"/>
                <w:rFonts w:ascii="Calibri" w:hAnsi="Calibri" w:cs="Calibri"/>
              </w:rPr>
              <w:footnoteReference w:id="25"/>
            </w:r>
          </w:p>
          <w:p w14:paraId="738FBD2B" w14:textId="77777777" w:rsidR="005A3C51" w:rsidRPr="00244C6F" w:rsidRDefault="005A3C51" w:rsidP="00E23CB9">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C0A7383" w14:textId="7A964AAB" w:rsidR="005F1E77" w:rsidRPr="00244C6F" w:rsidRDefault="005F1E77" w:rsidP="005F1E77">
            <w:pPr>
              <w:pStyle w:val="Sraopastraipa"/>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Teismas </w:t>
            </w:r>
            <w:r w:rsidR="00B316D1" w:rsidRPr="00244C6F">
              <w:rPr>
                <w:rFonts w:ascii="Calibri" w:hAnsi="Calibri" w:cs="Calibri"/>
              </w:rPr>
              <w:t>nustatė</w:t>
            </w:r>
            <w:r w:rsidRPr="00244C6F">
              <w:rPr>
                <w:rFonts w:ascii="Calibri" w:hAnsi="Calibri" w:cs="Calibri"/>
              </w:rPr>
              <w:t xml:space="preserve">, kad </w:t>
            </w:r>
            <w:r w:rsidR="00B316D1" w:rsidRPr="00244C6F">
              <w:rPr>
                <w:rFonts w:ascii="Calibri" w:hAnsi="Calibri" w:cs="Calibri"/>
              </w:rPr>
              <w:t xml:space="preserve">specialiųjų priemonių (ašarinio purkštuvo), kurių ėmėsi aplinkos apsaugos inspektoriai, panaudojimas </w:t>
            </w:r>
            <w:r w:rsidRPr="00244C6F">
              <w:rPr>
                <w:rFonts w:ascii="Calibri" w:hAnsi="Calibri" w:cs="Calibri"/>
              </w:rPr>
              <w:t>prieš pareiškėją, neįgalų asmenį, buvo neteisėtas, t.</w:t>
            </w:r>
            <w:r w:rsidR="00A808A5" w:rsidRPr="00244C6F">
              <w:rPr>
                <w:rFonts w:ascii="Calibri" w:hAnsi="Calibri" w:cs="Calibri"/>
              </w:rPr>
              <w:t> </w:t>
            </w:r>
            <w:r w:rsidRPr="00244C6F">
              <w:rPr>
                <w:rFonts w:ascii="Calibri" w:hAnsi="Calibri" w:cs="Calibri"/>
              </w:rPr>
              <w:t>y. neatitiko Lietuvos Respublikos aplinkos apsaugos valstybinės kontrolės įstatymo 12</w:t>
            </w:r>
            <w:r w:rsidR="007226B8" w:rsidRPr="00244C6F">
              <w:rPr>
                <w:rFonts w:ascii="Calibri" w:hAnsi="Calibri" w:cs="Calibri"/>
              </w:rPr>
              <w:t> </w:t>
            </w:r>
            <w:r w:rsidRPr="00244C6F">
              <w:rPr>
                <w:rFonts w:ascii="Calibri" w:hAnsi="Calibri" w:cs="Calibri"/>
              </w:rPr>
              <w:t>straipsnio 1 dalies 11 punkte</w:t>
            </w:r>
            <w:r w:rsidR="00B316D1" w:rsidRPr="00244C6F">
              <w:rPr>
                <w:rFonts w:ascii="Calibri" w:hAnsi="Calibri" w:cs="Calibri"/>
              </w:rPr>
              <w:t xml:space="preserve"> ir</w:t>
            </w:r>
            <w:r w:rsidRPr="00244C6F">
              <w:rPr>
                <w:rFonts w:ascii="Calibri" w:hAnsi="Calibri" w:cs="Calibri"/>
              </w:rPr>
              <w:t xml:space="preserve"> 41 straipsnyje numatytų sąlygų ir pagrindų.</w:t>
            </w:r>
            <w:r w:rsidRPr="00244C6F">
              <w:rPr>
                <w:rStyle w:val="Puslapioinaosnuoroda"/>
                <w:rFonts w:ascii="Calibri" w:hAnsi="Calibri" w:cs="Calibri"/>
              </w:rPr>
              <w:footnoteReference w:id="26"/>
            </w:r>
          </w:p>
          <w:p w14:paraId="59F05235" w14:textId="77777777" w:rsidR="000F211A" w:rsidRPr="00244C6F" w:rsidRDefault="000F211A" w:rsidP="00C0778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1D7B5EC" w14:textId="437E2C4A" w:rsidR="000F211A" w:rsidRPr="00244C6F" w:rsidRDefault="005F1E77" w:rsidP="00B92B36">
            <w:pPr>
              <w:pStyle w:val="Sraopastraipa"/>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lastRenderedPageBreak/>
              <w:t xml:space="preserve">Nagrinėjamu atveju nacionaliniais teisės aktais nustatytas teisinis reguliavimas neužtikrino Direktyvos 2009/103/EB 9 straipsnyje nustatytų nuostatų, </w:t>
            </w:r>
            <w:r w:rsidR="00BB535F" w:rsidRPr="00244C6F">
              <w:rPr>
                <w:rFonts w:ascii="Calibri" w:hAnsi="Calibri" w:cs="Calibri"/>
              </w:rPr>
              <w:t xml:space="preserve">todėl </w:t>
            </w:r>
            <w:r w:rsidRPr="00244C6F">
              <w:rPr>
                <w:rFonts w:ascii="Calibri" w:hAnsi="Calibri" w:cs="Calibri"/>
              </w:rPr>
              <w:t xml:space="preserve">Lietuvos valstybė netinkamai perkėlė ir įgyvendino </w:t>
            </w:r>
            <w:r w:rsidR="00BB535F" w:rsidRPr="00244C6F">
              <w:rPr>
                <w:rFonts w:ascii="Calibri" w:hAnsi="Calibri" w:cs="Calibri"/>
              </w:rPr>
              <w:t xml:space="preserve">šios </w:t>
            </w:r>
            <w:r w:rsidRPr="00244C6F">
              <w:rPr>
                <w:rFonts w:ascii="Calibri" w:hAnsi="Calibri" w:cs="Calibri"/>
              </w:rPr>
              <w:t>Direktyvos 9 straipsnį, kas teismui leido konstatuoti valstybės neteisėtus veiksmus.</w:t>
            </w:r>
            <w:r w:rsidRPr="00244C6F">
              <w:rPr>
                <w:rFonts w:ascii="Calibri" w:hAnsi="Calibri" w:cs="Calibri"/>
                <w:vertAlign w:val="superscript"/>
              </w:rPr>
              <w:footnoteReference w:id="27"/>
            </w:r>
          </w:p>
          <w:p w14:paraId="16D4960C" w14:textId="77777777" w:rsidR="00A40130" w:rsidRPr="00244C6F" w:rsidRDefault="00A40130" w:rsidP="00A40130">
            <w:pPr>
              <w:pStyle w:val="Sraopastraipa"/>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EFB6B85" w14:textId="3531C284" w:rsidR="00A942B9" w:rsidRPr="00244C6F" w:rsidRDefault="00A942B9" w:rsidP="00A942B9">
            <w:pPr>
              <w:pStyle w:val="Sraopastraipa"/>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 xml:space="preserve">Registrų centras neįvykdė pareigos </w:t>
            </w:r>
            <w:r w:rsidR="00BB535F" w:rsidRPr="00244C6F">
              <w:rPr>
                <w:rFonts w:ascii="Calibri" w:hAnsi="Calibri" w:cs="Calibri"/>
              </w:rPr>
              <w:t>pa</w:t>
            </w:r>
            <w:r w:rsidRPr="00244C6F">
              <w:rPr>
                <w:rFonts w:ascii="Calibri" w:hAnsi="Calibri" w:cs="Calibri"/>
              </w:rPr>
              <w:t>tikrinti jam teikiamų duomenų tikrum</w:t>
            </w:r>
            <w:r w:rsidR="00BB535F" w:rsidRPr="00244C6F">
              <w:rPr>
                <w:rFonts w:ascii="Calibri" w:hAnsi="Calibri" w:cs="Calibri"/>
              </w:rPr>
              <w:t>o</w:t>
            </w:r>
            <w:r w:rsidRPr="00244C6F">
              <w:rPr>
                <w:rFonts w:ascii="Calibri" w:hAnsi="Calibri" w:cs="Calibri"/>
              </w:rPr>
              <w:t xml:space="preserve">, </w:t>
            </w:r>
            <w:r w:rsidR="00BB535F" w:rsidRPr="00244C6F">
              <w:rPr>
                <w:rFonts w:ascii="Calibri" w:hAnsi="Calibri" w:cs="Calibri"/>
              </w:rPr>
              <w:t xml:space="preserve">apsiribodamas </w:t>
            </w:r>
            <w:r w:rsidRPr="00244C6F">
              <w:rPr>
                <w:rFonts w:ascii="Calibri" w:hAnsi="Calibri" w:cs="Calibri"/>
              </w:rPr>
              <w:t>tik formų užpildym</w:t>
            </w:r>
            <w:r w:rsidR="00BB535F" w:rsidRPr="00244C6F">
              <w:rPr>
                <w:rFonts w:ascii="Calibri" w:hAnsi="Calibri" w:cs="Calibri"/>
              </w:rPr>
              <w:t>o</w:t>
            </w:r>
            <w:r w:rsidRPr="00244C6F">
              <w:rPr>
                <w:rFonts w:ascii="Calibri" w:hAnsi="Calibri" w:cs="Calibri"/>
              </w:rPr>
              <w:t xml:space="preserve"> ir </w:t>
            </w:r>
            <w:r w:rsidR="00BB535F" w:rsidRPr="00244C6F">
              <w:rPr>
                <w:rFonts w:ascii="Calibri" w:hAnsi="Calibri" w:cs="Calibri"/>
              </w:rPr>
              <w:t xml:space="preserve">jose </w:t>
            </w:r>
            <w:r w:rsidRPr="00244C6F">
              <w:rPr>
                <w:rFonts w:ascii="Calibri" w:hAnsi="Calibri" w:cs="Calibri"/>
              </w:rPr>
              <w:t>nurodytų duomenų atitikim</w:t>
            </w:r>
            <w:r w:rsidR="00BB535F" w:rsidRPr="00244C6F">
              <w:rPr>
                <w:rFonts w:ascii="Calibri" w:hAnsi="Calibri" w:cs="Calibri"/>
              </w:rPr>
              <w:t>o</w:t>
            </w:r>
            <w:r w:rsidRPr="00244C6F">
              <w:rPr>
                <w:rFonts w:ascii="Calibri" w:hAnsi="Calibri" w:cs="Calibri"/>
              </w:rPr>
              <w:t xml:space="preserve"> pridėtiems dokumentams</w:t>
            </w:r>
            <w:r w:rsidR="00BB535F" w:rsidRPr="00244C6F">
              <w:rPr>
                <w:rFonts w:ascii="Calibri" w:hAnsi="Calibri" w:cs="Calibri"/>
              </w:rPr>
              <w:t xml:space="preserve"> kontrole</w:t>
            </w:r>
            <w:r w:rsidRPr="00244C6F">
              <w:rPr>
                <w:rFonts w:ascii="Calibri" w:hAnsi="Calibri" w:cs="Calibri"/>
              </w:rPr>
              <w:t>.</w:t>
            </w:r>
            <w:r w:rsidRPr="00244C6F">
              <w:rPr>
                <w:rFonts w:ascii="Calibri" w:hAnsi="Calibri" w:cs="Calibri"/>
                <w:vertAlign w:val="superscript"/>
              </w:rPr>
              <w:footnoteReference w:id="28"/>
            </w:r>
          </w:p>
          <w:p w14:paraId="501E7F3D" w14:textId="77777777" w:rsidR="00C57E85" w:rsidRPr="00244C6F" w:rsidRDefault="00C57E85" w:rsidP="00C57E85">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2788E69" w14:textId="77777777" w:rsidR="00C57E85" w:rsidRPr="00244C6F" w:rsidRDefault="00C57E85" w:rsidP="00C57E85">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A22FE7F" w14:textId="09ECA6CE" w:rsidR="00C57E85" w:rsidRPr="00244C6F" w:rsidRDefault="00C823D1" w:rsidP="00C57E85">
            <w:pPr>
              <w:pStyle w:val="Sraopastraipa"/>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4C6F">
              <w:rPr>
                <w:rFonts w:ascii="Calibri" w:hAnsi="Calibri" w:cs="Calibri"/>
              </w:rPr>
              <w:t>P</w:t>
            </w:r>
            <w:r w:rsidR="00C57E85" w:rsidRPr="00244C6F">
              <w:rPr>
                <w:rFonts w:ascii="Calibri" w:hAnsi="Calibri" w:cs="Calibri"/>
              </w:rPr>
              <w:t xml:space="preserve">areigūno </w:t>
            </w:r>
            <w:r w:rsidRPr="00244C6F">
              <w:rPr>
                <w:rFonts w:ascii="Calibri" w:hAnsi="Calibri" w:cs="Calibri"/>
              </w:rPr>
              <w:t>neatidumas ir nerūpestingumas nulėmė</w:t>
            </w:r>
            <w:r w:rsidR="00072590" w:rsidRPr="00244C6F">
              <w:rPr>
                <w:rFonts w:ascii="Calibri" w:hAnsi="Calibri" w:cs="Calibri"/>
              </w:rPr>
              <w:t xml:space="preserve"> tai</w:t>
            </w:r>
            <w:r w:rsidRPr="00244C6F">
              <w:rPr>
                <w:rFonts w:ascii="Calibri" w:hAnsi="Calibri" w:cs="Calibri"/>
              </w:rPr>
              <w:t xml:space="preserve">, kad </w:t>
            </w:r>
            <w:r w:rsidR="00C57E85" w:rsidRPr="00244C6F">
              <w:rPr>
                <w:rFonts w:ascii="Calibri" w:hAnsi="Calibri" w:cs="Calibri"/>
              </w:rPr>
              <w:t xml:space="preserve">galiojanti pareiškėjo asmens tapatybę patvirtinanti kortelė buvo paskelbta paieškoma, </w:t>
            </w:r>
            <w:r w:rsidR="00731F98" w:rsidRPr="00244C6F">
              <w:rPr>
                <w:rFonts w:ascii="Calibri" w:hAnsi="Calibri" w:cs="Calibri"/>
              </w:rPr>
              <w:t xml:space="preserve">todėl </w:t>
            </w:r>
            <w:r w:rsidR="00C57E85" w:rsidRPr="00244C6F">
              <w:rPr>
                <w:rFonts w:ascii="Calibri" w:hAnsi="Calibri" w:cs="Calibri"/>
              </w:rPr>
              <w:t>pareiškėjas patyrė žalą.</w:t>
            </w:r>
            <w:r w:rsidR="00C57E85" w:rsidRPr="00244C6F">
              <w:rPr>
                <w:rFonts w:ascii="Calibri" w:hAnsi="Calibri" w:cs="Calibri"/>
                <w:vertAlign w:val="superscript"/>
              </w:rPr>
              <w:footnoteReference w:id="29"/>
            </w:r>
          </w:p>
        </w:tc>
      </w:tr>
    </w:tbl>
    <w:p w14:paraId="3300A7F2" w14:textId="54757FB7" w:rsidR="008053CD" w:rsidRPr="00244C6F" w:rsidRDefault="00A916BA" w:rsidP="008975EA">
      <w:pPr>
        <w:tabs>
          <w:tab w:val="left" w:pos="8266"/>
        </w:tabs>
        <w:spacing w:after="0"/>
        <w:rPr>
          <w:rFonts w:ascii="Calibri" w:hAnsi="Calibri" w:cs="Calibri"/>
          <w:sz w:val="10"/>
          <w:szCs w:val="10"/>
        </w:rPr>
      </w:pPr>
      <w:r w:rsidRPr="00244C6F">
        <w:rPr>
          <w:rFonts w:ascii="Calibri" w:hAnsi="Calibri" w:cs="Calibri"/>
          <w:sz w:val="10"/>
          <w:szCs w:val="10"/>
        </w:rPr>
        <w:lastRenderedPageBreak/>
        <w:tab/>
        <w:t xml:space="preserve">                                </w:t>
      </w:r>
      <w:r w:rsidRPr="00244C6F">
        <w:rPr>
          <w:rFonts w:ascii="Calibri" w:hAnsi="Calibri" w:cs="Calibri"/>
        </w:rPr>
        <w:t xml:space="preserve">                </w:t>
      </w:r>
    </w:p>
    <w:p w14:paraId="78E3E65E" w14:textId="56C7DC90" w:rsidR="0038586F" w:rsidRPr="00244C6F" w:rsidRDefault="003F5EAD" w:rsidP="00A916BA">
      <w:pPr>
        <w:tabs>
          <w:tab w:val="left" w:pos="8266"/>
        </w:tabs>
        <w:spacing w:after="0"/>
        <w:jc w:val="right"/>
        <w:rPr>
          <w:rFonts w:ascii="Calibri" w:hAnsi="Calibri" w:cs="Calibri"/>
        </w:rPr>
      </w:pPr>
      <w:r w:rsidRPr="003D1754">
        <w:rPr>
          <w:rFonts w:ascii="Calibri" w:hAnsi="Calibri" w:cs="Calibri"/>
        </w:rPr>
        <w:t>6</w:t>
      </w:r>
      <w:r w:rsidR="00A916BA" w:rsidRPr="003D1754">
        <w:rPr>
          <w:rFonts w:ascii="Calibri" w:hAnsi="Calibri" w:cs="Calibri"/>
        </w:rPr>
        <w:t xml:space="preserve"> paveikslėlis</w:t>
      </w:r>
    </w:p>
    <w:p w14:paraId="26C7A3AE" w14:textId="2C5B7307" w:rsidR="00C7753E" w:rsidRPr="00244C6F" w:rsidRDefault="00582A0C" w:rsidP="002E641C">
      <w:pPr>
        <w:spacing w:after="0"/>
        <w:rPr>
          <w:rFonts w:ascii="Calibri" w:hAnsi="Calibri" w:cs="Calibri"/>
        </w:rPr>
      </w:pPr>
      <w:r w:rsidRPr="00244C6F">
        <w:rPr>
          <w:rFonts w:ascii="Calibri" w:hAnsi="Calibri" w:cs="Calibri"/>
          <w:noProof/>
        </w:rPr>
        <w:drawing>
          <wp:inline distT="0" distB="0" distL="0" distR="0" wp14:anchorId="73E9CB30" wp14:editId="2908E7C1">
            <wp:extent cx="6134100" cy="2184400"/>
            <wp:effectExtent l="0" t="0" r="0" b="6350"/>
            <wp:docPr id="2052761260"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7BD6DBF" w14:textId="7685BD86" w:rsidR="00A916BA" w:rsidRPr="00244C6F" w:rsidRDefault="008975EA" w:rsidP="008975EA">
      <w:pPr>
        <w:spacing w:after="0"/>
        <w:rPr>
          <w:rFonts w:ascii="Calibri" w:hAnsi="Calibri" w:cs="Calibri"/>
        </w:rPr>
      </w:pPr>
      <w:r w:rsidRPr="00244C6F">
        <w:rPr>
          <w:rFonts w:ascii="Calibri" w:hAnsi="Calibri" w:cs="Calibri"/>
        </w:rPr>
        <w:t xml:space="preserve">                                                                                                                                                          </w:t>
      </w:r>
      <w:r w:rsidR="003F5EAD" w:rsidRPr="00244C6F">
        <w:rPr>
          <w:rFonts w:ascii="Calibri" w:hAnsi="Calibri" w:cs="Calibri"/>
        </w:rPr>
        <w:t>7</w:t>
      </w:r>
      <w:r w:rsidR="00A916BA" w:rsidRPr="00244C6F">
        <w:rPr>
          <w:rFonts w:ascii="Calibri" w:hAnsi="Calibri" w:cs="Calibri"/>
        </w:rPr>
        <w:t xml:space="preserve"> paveikslėlis</w:t>
      </w:r>
    </w:p>
    <w:p w14:paraId="461D5106" w14:textId="07C257C4" w:rsidR="00BC4B98" w:rsidRPr="00244C6F" w:rsidRDefault="003E6765" w:rsidP="00830947">
      <w:pPr>
        <w:rPr>
          <w:rFonts w:ascii="Calibri" w:hAnsi="Calibri" w:cs="Calibri"/>
        </w:rPr>
      </w:pPr>
      <w:r w:rsidRPr="00244C6F">
        <w:rPr>
          <w:rFonts w:ascii="Calibri" w:hAnsi="Calibri" w:cs="Calibri"/>
          <w:noProof/>
        </w:rPr>
        <w:drawing>
          <wp:inline distT="0" distB="0" distL="0" distR="0" wp14:anchorId="7A854EA4" wp14:editId="200BAA26">
            <wp:extent cx="6134100" cy="2076450"/>
            <wp:effectExtent l="0" t="0" r="0" b="0"/>
            <wp:docPr id="49306755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4C7F0ED" w14:textId="58BF031B" w:rsidR="00A40130" w:rsidRPr="00244C6F" w:rsidRDefault="005504D9" w:rsidP="00A40130">
      <w:pPr>
        <w:spacing w:after="0" w:line="240" w:lineRule="auto"/>
        <w:rPr>
          <w:rFonts w:ascii="Calibri" w:hAnsi="Calibri" w:cs="Calibri"/>
          <w:color w:val="0070C0"/>
        </w:rPr>
      </w:pPr>
      <w:r w:rsidRPr="00244C6F">
        <w:rPr>
          <w:rFonts w:ascii="Calibri" w:hAnsi="Calibri" w:cs="Calibri"/>
          <w:i/>
          <w:iCs/>
          <w:color w:val="0070C0"/>
          <w:sz w:val="48"/>
          <w:szCs w:val="48"/>
        </w:rPr>
        <w:br w:type="page"/>
      </w:r>
      <w:r w:rsidR="00A63F4A" w:rsidRPr="00244C6F">
        <w:rPr>
          <w:rFonts w:ascii="Calibri" w:hAnsi="Calibri" w:cs="Calibri"/>
          <w:color w:val="0070C0"/>
          <w:sz w:val="48"/>
          <w:szCs w:val="48"/>
        </w:rPr>
        <w:lastRenderedPageBreak/>
        <w:t>Vykdytuose</w:t>
      </w:r>
      <w:r w:rsidR="00FA7240" w:rsidRPr="00244C6F">
        <w:rPr>
          <w:rFonts w:ascii="Calibri" w:hAnsi="Calibri" w:cs="Calibri"/>
          <w:color w:val="0070C0"/>
          <w:sz w:val="48"/>
          <w:szCs w:val="48"/>
        </w:rPr>
        <w:t xml:space="preserve"> sprendimuose r</w:t>
      </w:r>
      <w:r w:rsidR="00763DC8" w:rsidRPr="00244C6F">
        <w:rPr>
          <w:rFonts w:ascii="Calibri" w:hAnsi="Calibri" w:cs="Calibri"/>
          <w:color w:val="0070C0"/>
          <w:sz w:val="48"/>
          <w:szCs w:val="48"/>
        </w:rPr>
        <w:t>eikalau</w:t>
      </w:r>
      <w:r w:rsidR="00FA7240" w:rsidRPr="00244C6F">
        <w:rPr>
          <w:rFonts w:ascii="Calibri" w:hAnsi="Calibri" w:cs="Calibri"/>
          <w:color w:val="0070C0"/>
          <w:sz w:val="48"/>
          <w:szCs w:val="48"/>
        </w:rPr>
        <w:t>tos</w:t>
      </w:r>
      <w:r w:rsidR="006A651B" w:rsidRPr="00244C6F">
        <w:rPr>
          <w:rFonts w:ascii="Calibri" w:hAnsi="Calibri" w:cs="Calibri"/>
          <w:color w:val="0070C0"/>
          <w:sz w:val="48"/>
          <w:szCs w:val="48"/>
        </w:rPr>
        <w:t xml:space="preserve"> </w:t>
      </w:r>
      <w:r w:rsidR="000D74FE" w:rsidRPr="00244C6F">
        <w:rPr>
          <w:rFonts w:ascii="Calibri" w:hAnsi="Calibri" w:cs="Calibri"/>
          <w:color w:val="0070C0"/>
          <w:sz w:val="48"/>
          <w:szCs w:val="48"/>
        </w:rPr>
        <w:t xml:space="preserve">ir priteistos </w:t>
      </w:r>
      <w:r w:rsidR="006A651B" w:rsidRPr="00244C6F">
        <w:rPr>
          <w:rFonts w:ascii="Calibri" w:hAnsi="Calibri" w:cs="Calibri"/>
          <w:color w:val="0070C0"/>
          <w:sz w:val="48"/>
          <w:szCs w:val="48"/>
        </w:rPr>
        <w:t>turtinės ir</w:t>
      </w:r>
      <w:r w:rsidR="00763DC8" w:rsidRPr="00244C6F">
        <w:rPr>
          <w:rFonts w:ascii="Calibri" w:hAnsi="Calibri" w:cs="Calibri"/>
          <w:color w:val="0070C0"/>
          <w:sz w:val="48"/>
          <w:szCs w:val="48"/>
        </w:rPr>
        <w:t xml:space="preserve"> </w:t>
      </w:r>
      <w:r w:rsidR="00026278" w:rsidRPr="00244C6F">
        <w:rPr>
          <w:rFonts w:ascii="Calibri" w:hAnsi="Calibri" w:cs="Calibri"/>
          <w:color w:val="0070C0"/>
          <w:sz w:val="48"/>
          <w:szCs w:val="48"/>
        </w:rPr>
        <w:t xml:space="preserve">neturtinės žalos </w:t>
      </w:r>
      <w:r w:rsidR="00802339" w:rsidRPr="00244C6F">
        <w:rPr>
          <w:rFonts w:ascii="Calibri" w:hAnsi="Calibri" w:cs="Calibri"/>
          <w:color w:val="0070C0"/>
          <w:sz w:val="48"/>
          <w:szCs w:val="48"/>
        </w:rPr>
        <w:t>rodikliai</w:t>
      </w:r>
      <w:r w:rsidR="00FA7240" w:rsidRPr="00244C6F">
        <w:rPr>
          <w:rFonts w:ascii="Calibri" w:hAnsi="Calibri" w:cs="Calibri"/>
          <w:color w:val="0070C0"/>
          <w:sz w:val="48"/>
          <w:szCs w:val="48"/>
        </w:rPr>
        <w:t xml:space="preserve"> </w:t>
      </w:r>
    </w:p>
    <w:p w14:paraId="5829A676" w14:textId="77777777" w:rsidR="00A40130" w:rsidRPr="00244C6F" w:rsidRDefault="00A40130" w:rsidP="00A40130">
      <w:pPr>
        <w:spacing w:after="0" w:line="240" w:lineRule="auto"/>
        <w:rPr>
          <w:rFonts w:ascii="Calibri" w:hAnsi="Calibri" w:cs="Calibri"/>
          <w:i/>
          <w:iCs/>
          <w:color w:val="0070C0"/>
        </w:rPr>
      </w:pPr>
    </w:p>
    <w:p w14:paraId="396695DE" w14:textId="7A2C8D81" w:rsidR="00802339" w:rsidRPr="00244C6F" w:rsidRDefault="00D732BA" w:rsidP="002E641C">
      <w:pPr>
        <w:spacing w:after="0"/>
        <w:ind w:firstLine="720"/>
        <w:jc w:val="both"/>
        <w:rPr>
          <w:rFonts w:ascii="Calibri" w:hAnsi="Calibri" w:cs="Calibri"/>
        </w:rPr>
      </w:pPr>
      <w:r w:rsidRPr="00244C6F">
        <w:rPr>
          <w:rFonts w:ascii="Calibri" w:hAnsi="Calibri" w:cs="Calibri"/>
        </w:rPr>
        <w:t>Pastebėtina, kad bylose dėl žalos atlyginimo</w:t>
      </w:r>
      <w:r w:rsidR="005B39A3" w:rsidRPr="00244C6F">
        <w:rPr>
          <w:rFonts w:ascii="Calibri" w:hAnsi="Calibri" w:cs="Calibri"/>
        </w:rPr>
        <w:t xml:space="preserve">, išskyrus sudarytų taikos sutarčių ir mediacijos atvejus, </w:t>
      </w:r>
      <w:r w:rsidR="00451872" w:rsidRPr="00244C6F">
        <w:rPr>
          <w:rFonts w:ascii="Calibri" w:hAnsi="Calibri" w:cs="Calibri"/>
        </w:rPr>
        <w:t xml:space="preserve">pakankamai dažnai </w:t>
      </w:r>
      <w:r w:rsidR="0096381F" w:rsidRPr="00244C6F">
        <w:rPr>
          <w:rFonts w:ascii="Calibri" w:hAnsi="Calibri" w:cs="Calibri"/>
        </w:rPr>
        <w:t xml:space="preserve">turtinės žalos </w:t>
      </w:r>
      <w:r w:rsidR="00451872" w:rsidRPr="00244C6F">
        <w:rPr>
          <w:rFonts w:ascii="Calibri" w:hAnsi="Calibri" w:cs="Calibri"/>
        </w:rPr>
        <w:t>reikalavim</w:t>
      </w:r>
      <w:r w:rsidR="001126C4" w:rsidRPr="00244C6F">
        <w:rPr>
          <w:rFonts w:ascii="Calibri" w:hAnsi="Calibri" w:cs="Calibri"/>
        </w:rPr>
        <w:t xml:space="preserve">ų dydžiai </w:t>
      </w:r>
      <w:r w:rsidR="002071D9" w:rsidRPr="00244C6F">
        <w:rPr>
          <w:rFonts w:ascii="Calibri" w:hAnsi="Calibri" w:cs="Calibri"/>
        </w:rPr>
        <w:t>atitinka teismų sprendimuose priteistų sumų dydžius.</w:t>
      </w:r>
      <w:r w:rsidR="001126C4" w:rsidRPr="00244C6F">
        <w:rPr>
          <w:rFonts w:ascii="Calibri" w:hAnsi="Calibri" w:cs="Calibri"/>
        </w:rPr>
        <w:t xml:space="preserve"> </w:t>
      </w:r>
      <w:r w:rsidR="009A7DA7" w:rsidRPr="00244C6F">
        <w:rPr>
          <w:rFonts w:ascii="Calibri" w:hAnsi="Calibri" w:cs="Calibri"/>
        </w:rPr>
        <w:t xml:space="preserve">Bylose, kuriose 2024 metais buvo </w:t>
      </w:r>
      <w:r w:rsidR="00A63F4A" w:rsidRPr="00244C6F">
        <w:rPr>
          <w:rFonts w:ascii="Calibri" w:hAnsi="Calibri" w:cs="Calibri"/>
        </w:rPr>
        <w:t xml:space="preserve">vykdyti </w:t>
      </w:r>
      <w:r w:rsidR="009A7DA7" w:rsidRPr="00244C6F">
        <w:rPr>
          <w:rFonts w:ascii="Calibri" w:hAnsi="Calibri" w:cs="Calibri"/>
        </w:rPr>
        <w:t>sprendimai</w:t>
      </w:r>
      <w:r w:rsidR="00080392" w:rsidRPr="00244C6F">
        <w:rPr>
          <w:rFonts w:ascii="Calibri" w:hAnsi="Calibri" w:cs="Calibri"/>
        </w:rPr>
        <w:t xml:space="preserve"> </w:t>
      </w:r>
      <w:r w:rsidR="000F6D93" w:rsidRPr="00244C6F">
        <w:rPr>
          <w:rFonts w:ascii="Calibri" w:hAnsi="Calibri" w:cs="Calibri"/>
        </w:rPr>
        <w:t>dėl neteisėtų valstybės valdžios institucijų veiksmų</w:t>
      </w:r>
      <w:r w:rsidR="009A7DA7" w:rsidRPr="00244C6F">
        <w:rPr>
          <w:rFonts w:ascii="Calibri" w:hAnsi="Calibri" w:cs="Calibri"/>
        </w:rPr>
        <w:t xml:space="preserve">, </w:t>
      </w:r>
      <w:r w:rsidR="00F1172F" w:rsidRPr="00244C6F">
        <w:rPr>
          <w:rFonts w:ascii="Calibri" w:hAnsi="Calibri" w:cs="Calibri"/>
        </w:rPr>
        <w:t xml:space="preserve">buvo pareikšta </w:t>
      </w:r>
      <w:r w:rsidR="009A7DA7" w:rsidRPr="00244C6F">
        <w:rPr>
          <w:rFonts w:ascii="Calibri" w:hAnsi="Calibri" w:cs="Calibri"/>
        </w:rPr>
        <w:t>t</w:t>
      </w:r>
      <w:r w:rsidR="00693BDF" w:rsidRPr="00244C6F">
        <w:rPr>
          <w:rFonts w:ascii="Calibri" w:hAnsi="Calibri" w:cs="Calibri"/>
        </w:rPr>
        <w:t>urtinės žalos reikalavim</w:t>
      </w:r>
      <w:r w:rsidR="00F1172F" w:rsidRPr="00244C6F">
        <w:rPr>
          <w:rFonts w:ascii="Calibri" w:hAnsi="Calibri" w:cs="Calibri"/>
        </w:rPr>
        <w:t>ų</w:t>
      </w:r>
      <w:r w:rsidR="00693BDF" w:rsidRPr="00244C6F">
        <w:rPr>
          <w:rFonts w:ascii="Calibri" w:hAnsi="Calibri" w:cs="Calibri"/>
        </w:rPr>
        <w:t xml:space="preserve"> </w:t>
      </w:r>
      <w:r w:rsidR="00ED1ABE" w:rsidRPr="00244C6F">
        <w:rPr>
          <w:rFonts w:ascii="Calibri" w:hAnsi="Calibri" w:cs="Calibri"/>
        </w:rPr>
        <w:t>dėl</w:t>
      </w:r>
      <w:r w:rsidR="00693BDF" w:rsidRPr="00244C6F">
        <w:rPr>
          <w:rFonts w:ascii="Calibri" w:hAnsi="Calibri" w:cs="Calibri"/>
        </w:rPr>
        <w:t xml:space="preserve"> </w:t>
      </w:r>
      <w:r w:rsidR="00026D95" w:rsidRPr="00244C6F">
        <w:rPr>
          <w:rFonts w:ascii="Calibri" w:hAnsi="Calibri" w:cs="Calibri"/>
        </w:rPr>
        <w:t>213</w:t>
      </w:r>
      <w:r w:rsidR="00F1172F" w:rsidRPr="00244C6F">
        <w:rPr>
          <w:rFonts w:ascii="Calibri" w:hAnsi="Calibri" w:cs="Calibri"/>
        </w:rPr>
        <w:t> </w:t>
      </w:r>
      <w:r w:rsidR="00026D95" w:rsidRPr="00244C6F">
        <w:rPr>
          <w:rFonts w:ascii="Calibri" w:hAnsi="Calibri" w:cs="Calibri"/>
        </w:rPr>
        <w:t>533,61</w:t>
      </w:r>
      <w:r w:rsidR="00467160" w:rsidRPr="00244C6F">
        <w:rPr>
          <w:rFonts w:ascii="Calibri" w:hAnsi="Calibri" w:cs="Calibri"/>
        </w:rPr>
        <w:t> </w:t>
      </w:r>
      <w:r w:rsidR="00026D95" w:rsidRPr="00244C6F">
        <w:rPr>
          <w:rFonts w:ascii="Calibri" w:hAnsi="Calibri" w:cs="Calibri"/>
        </w:rPr>
        <w:t xml:space="preserve">Eur, </w:t>
      </w:r>
      <w:r w:rsidR="00F1172F" w:rsidRPr="00244C6F">
        <w:rPr>
          <w:rFonts w:ascii="Calibri" w:hAnsi="Calibri" w:cs="Calibri"/>
        </w:rPr>
        <w:t xml:space="preserve">o </w:t>
      </w:r>
      <w:r w:rsidR="00026D95" w:rsidRPr="00244C6F">
        <w:rPr>
          <w:rFonts w:ascii="Calibri" w:hAnsi="Calibri" w:cs="Calibri"/>
        </w:rPr>
        <w:t>teismai priteisė 142</w:t>
      </w:r>
      <w:r w:rsidR="00F1172F" w:rsidRPr="00244C6F">
        <w:rPr>
          <w:rFonts w:ascii="Calibri" w:hAnsi="Calibri" w:cs="Calibri"/>
        </w:rPr>
        <w:t> </w:t>
      </w:r>
      <w:r w:rsidR="008B6B8B" w:rsidRPr="00244C6F">
        <w:rPr>
          <w:rFonts w:ascii="Calibri" w:hAnsi="Calibri" w:cs="Calibri"/>
        </w:rPr>
        <w:t>026,63 Eur</w:t>
      </w:r>
      <w:r w:rsidR="00F1172F" w:rsidRPr="00244C6F">
        <w:rPr>
          <w:rFonts w:ascii="Calibri" w:hAnsi="Calibri" w:cs="Calibri"/>
        </w:rPr>
        <w:t xml:space="preserve"> – </w:t>
      </w:r>
      <w:r w:rsidR="00A63F4A" w:rsidRPr="00244C6F">
        <w:rPr>
          <w:rFonts w:ascii="Calibri" w:hAnsi="Calibri" w:cs="Calibri"/>
        </w:rPr>
        <w:t>vos 33 proc</w:t>
      </w:r>
      <w:r w:rsidR="00F1172F" w:rsidRPr="00244C6F">
        <w:rPr>
          <w:rFonts w:ascii="Calibri" w:hAnsi="Calibri" w:cs="Calibri"/>
        </w:rPr>
        <w:t>.</w:t>
      </w:r>
      <w:r w:rsidR="00A63F4A" w:rsidRPr="00244C6F">
        <w:rPr>
          <w:rFonts w:ascii="Calibri" w:hAnsi="Calibri" w:cs="Calibri"/>
        </w:rPr>
        <w:t xml:space="preserve"> mažiau.</w:t>
      </w:r>
      <w:r w:rsidR="008B6B8B" w:rsidRPr="00244C6F">
        <w:rPr>
          <w:rFonts w:ascii="Calibri" w:hAnsi="Calibri" w:cs="Calibri"/>
        </w:rPr>
        <w:t xml:space="preserve"> </w:t>
      </w:r>
      <w:r w:rsidR="00F1172F" w:rsidRPr="00244C6F">
        <w:rPr>
          <w:rFonts w:ascii="Calibri" w:hAnsi="Calibri" w:cs="Calibri"/>
        </w:rPr>
        <w:t xml:space="preserve">Savo ruožtu, </w:t>
      </w:r>
      <w:r w:rsidR="00754C8E" w:rsidRPr="00244C6F">
        <w:rPr>
          <w:rFonts w:ascii="Calibri" w:hAnsi="Calibri" w:cs="Calibri"/>
        </w:rPr>
        <w:t>situacija dėl reikalavimų, susijusių su neturtine žala</w:t>
      </w:r>
      <w:r w:rsidR="00F1172F" w:rsidRPr="00244C6F">
        <w:rPr>
          <w:rFonts w:ascii="Calibri" w:hAnsi="Calibri" w:cs="Calibri"/>
        </w:rPr>
        <w:t>,</w:t>
      </w:r>
      <w:r w:rsidR="009A7DA7" w:rsidRPr="00244C6F">
        <w:rPr>
          <w:rFonts w:ascii="Calibri" w:hAnsi="Calibri" w:cs="Calibri"/>
        </w:rPr>
        <w:t xml:space="preserve"> </w:t>
      </w:r>
      <w:r w:rsidR="00F1172F" w:rsidRPr="00244C6F">
        <w:rPr>
          <w:rFonts w:ascii="Calibri" w:hAnsi="Calibri" w:cs="Calibri"/>
        </w:rPr>
        <w:t>visiškai kitokia: pareikšta</w:t>
      </w:r>
      <w:r w:rsidR="009A312F" w:rsidRPr="00244C6F">
        <w:rPr>
          <w:rFonts w:ascii="Calibri" w:hAnsi="Calibri" w:cs="Calibri"/>
        </w:rPr>
        <w:t xml:space="preserve"> </w:t>
      </w:r>
      <w:r w:rsidR="00B75665" w:rsidRPr="00244C6F">
        <w:rPr>
          <w:rFonts w:ascii="Calibri" w:hAnsi="Calibri" w:cs="Calibri"/>
        </w:rPr>
        <w:t>reikalavim</w:t>
      </w:r>
      <w:r w:rsidR="00CA4CB8" w:rsidRPr="00244C6F">
        <w:rPr>
          <w:rFonts w:ascii="Calibri" w:hAnsi="Calibri" w:cs="Calibri"/>
        </w:rPr>
        <w:t>ų</w:t>
      </w:r>
      <w:r w:rsidR="00B75665" w:rsidRPr="00244C6F">
        <w:rPr>
          <w:rFonts w:ascii="Calibri" w:hAnsi="Calibri" w:cs="Calibri"/>
        </w:rPr>
        <w:t xml:space="preserve"> </w:t>
      </w:r>
      <w:r w:rsidR="00ED1ABE" w:rsidRPr="00244C6F">
        <w:rPr>
          <w:rFonts w:ascii="Calibri" w:hAnsi="Calibri" w:cs="Calibri"/>
        </w:rPr>
        <w:t>dėl</w:t>
      </w:r>
      <w:r w:rsidR="00F1172F" w:rsidRPr="00244C6F">
        <w:rPr>
          <w:rFonts w:ascii="Calibri" w:hAnsi="Calibri" w:cs="Calibri"/>
        </w:rPr>
        <w:t xml:space="preserve"> </w:t>
      </w:r>
      <w:r w:rsidR="00B75665" w:rsidRPr="00244C6F">
        <w:rPr>
          <w:rFonts w:ascii="Calibri" w:hAnsi="Calibri" w:cs="Calibri"/>
        </w:rPr>
        <w:t>714</w:t>
      </w:r>
      <w:r w:rsidR="006E1AE8" w:rsidRPr="00244C6F">
        <w:rPr>
          <w:rFonts w:ascii="Calibri" w:hAnsi="Calibri" w:cs="Calibri"/>
        </w:rPr>
        <w:t> </w:t>
      </w:r>
      <w:r w:rsidR="00B75665" w:rsidRPr="00244C6F">
        <w:rPr>
          <w:rFonts w:ascii="Calibri" w:hAnsi="Calibri" w:cs="Calibri"/>
        </w:rPr>
        <w:t>924</w:t>
      </w:r>
      <w:r w:rsidR="006E1AE8" w:rsidRPr="00244C6F">
        <w:rPr>
          <w:rFonts w:ascii="Calibri" w:hAnsi="Calibri" w:cs="Calibri"/>
        </w:rPr>
        <w:t> </w:t>
      </w:r>
      <w:r w:rsidR="00B75665" w:rsidRPr="00244C6F">
        <w:rPr>
          <w:rFonts w:ascii="Calibri" w:hAnsi="Calibri" w:cs="Calibri"/>
        </w:rPr>
        <w:t>Eur</w:t>
      </w:r>
      <w:r w:rsidR="00CA4CB8" w:rsidRPr="00244C6F">
        <w:rPr>
          <w:rFonts w:ascii="Calibri" w:hAnsi="Calibri" w:cs="Calibri"/>
        </w:rPr>
        <w:t xml:space="preserve"> </w:t>
      </w:r>
      <w:r w:rsidR="00B75665" w:rsidRPr="00244C6F">
        <w:rPr>
          <w:rFonts w:ascii="Calibri" w:hAnsi="Calibri" w:cs="Calibri"/>
        </w:rPr>
        <w:t>neturtinei žalai</w:t>
      </w:r>
      <w:r w:rsidR="00ED1ABE" w:rsidRPr="00244C6F">
        <w:rPr>
          <w:rFonts w:ascii="Calibri" w:hAnsi="Calibri" w:cs="Calibri"/>
        </w:rPr>
        <w:t>, susijusiai</w:t>
      </w:r>
      <w:r w:rsidR="00413205" w:rsidRPr="00244C6F">
        <w:rPr>
          <w:rFonts w:ascii="Calibri" w:hAnsi="Calibri" w:cs="Calibri"/>
        </w:rPr>
        <w:t xml:space="preserve"> </w:t>
      </w:r>
      <w:r w:rsidR="00ED1ABE" w:rsidRPr="00244C6F">
        <w:rPr>
          <w:rFonts w:ascii="Calibri" w:hAnsi="Calibri" w:cs="Calibri"/>
        </w:rPr>
        <w:t xml:space="preserve">su </w:t>
      </w:r>
      <w:r w:rsidR="00413205" w:rsidRPr="00244C6F">
        <w:rPr>
          <w:rFonts w:ascii="Calibri" w:hAnsi="Calibri" w:cs="Calibri"/>
        </w:rPr>
        <w:t>neteisėt</w:t>
      </w:r>
      <w:r w:rsidR="00ED1ABE" w:rsidRPr="00244C6F">
        <w:rPr>
          <w:rFonts w:ascii="Calibri" w:hAnsi="Calibri" w:cs="Calibri"/>
        </w:rPr>
        <w:t>ais</w:t>
      </w:r>
      <w:r w:rsidR="00413205" w:rsidRPr="00244C6F">
        <w:rPr>
          <w:rFonts w:ascii="Calibri" w:hAnsi="Calibri" w:cs="Calibri"/>
        </w:rPr>
        <w:t xml:space="preserve"> valstybės veiks</w:t>
      </w:r>
      <w:r w:rsidR="00ED1ABE" w:rsidRPr="00244C6F">
        <w:rPr>
          <w:rFonts w:ascii="Calibri" w:hAnsi="Calibri" w:cs="Calibri"/>
        </w:rPr>
        <w:t xml:space="preserve">mais, </w:t>
      </w:r>
      <w:r w:rsidR="00B75665" w:rsidRPr="00244C6F">
        <w:rPr>
          <w:rFonts w:ascii="Calibri" w:hAnsi="Calibri" w:cs="Calibri"/>
        </w:rPr>
        <w:t xml:space="preserve">atlyginti, tačiau teismai priteisė </w:t>
      </w:r>
      <w:r w:rsidR="00413205" w:rsidRPr="00244C6F">
        <w:rPr>
          <w:rFonts w:ascii="Calibri" w:hAnsi="Calibri" w:cs="Calibri"/>
        </w:rPr>
        <w:t xml:space="preserve">vos </w:t>
      </w:r>
      <w:r w:rsidR="00DB128E" w:rsidRPr="00244C6F">
        <w:rPr>
          <w:rFonts w:ascii="Calibri" w:hAnsi="Calibri" w:cs="Calibri"/>
        </w:rPr>
        <w:t>79 550</w:t>
      </w:r>
      <w:r w:rsidR="00ED1ABE" w:rsidRPr="00244C6F">
        <w:rPr>
          <w:rFonts w:ascii="Calibri" w:hAnsi="Calibri" w:cs="Calibri"/>
        </w:rPr>
        <w:t> </w:t>
      </w:r>
      <w:r w:rsidR="00DB128E" w:rsidRPr="00244C6F">
        <w:rPr>
          <w:rFonts w:ascii="Calibri" w:hAnsi="Calibri" w:cs="Calibri"/>
        </w:rPr>
        <w:t>Eur</w:t>
      </w:r>
      <w:r w:rsidR="00A63F4A" w:rsidRPr="00244C6F">
        <w:rPr>
          <w:rFonts w:ascii="Calibri" w:hAnsi="Calibri" w:cs="Calibri"/>
        </w:rPr>
        <w:t>, t.</w:t>
      </w:r>
      <w:r w:rsidR="00ED1ABE" w:rsidRPr="00244C6F">
        <w:rPr>
          <w:rFonts w:ascii="Calibri" w:hAnsi="Calibri" w:cs="Calibri"/>
        </w:rPr>
        <w:t> </w:t>
      </w:r>
      <w:r w:rsidR="00A63F4A" w:rsidRPr="00244C6F">
        <w:rPr>
          <w:rFonts w:ascii="Calibri" w:hAnsi="Calibri" w:cs="Calibri"/>
        </w:rPr>
        <w:t>y. beveiki 89 proc</w:t>
      </w:r>
      <w:r w:rsidR="00ED1ABE" w:rsidRPr="00244C6F">
        <w:rPr>
          <w:rFonts w:ascii="Calibri" w:hAnsi="Calibri" w:cs="Calibri"/>
        </w:rPr>
        <w:t>.</w:t>
      </w:r>
      <w:r w:rsidR="00A63F4A" w:rsidRPr="00244C6F">
        <w:rPr>
          <w:rFonts w:ascii="Calibri" w:hAnsi="Calibri" w:cs="Calibri"/>
        </w:rPr>
        <w:t xml:space="preserve"> mažiau.</w:t>
      </w:r>
      <w:r w:rsidR="00DB128E" w:rsidRPr="00244C6F">
        <w:rPr>
          <w:rFonts w:ascii="Calibri" w:hAnsi="Calibri" w:cs="Calibri"/>
        </w:rPr>
        <w:t xml:space="preserve"> </w:t>
      </w:r>
      <w:r w:rsidR="00CC097B" w:rsidRPr="00244C6F">
        <w:rPr>
          <w:rFonts w:ascii="Calibri" w:hAnsi="Calibri" w:cs="Calibri"/>
        </w:rPr>
        <w:t xml:space="preserve">Šie </w:t>
      </w:r>
      <w:r w:rsidR="00ED1ABE" w:rsidRPr="00244C6F">
        <w:rPr>
          <w:rFonts w:ascii="Calibri" w:hAnsi="Calibri" w:cs="Calibri"/>
        </w:rPr>
        <w:t xml:space="preserve">duomenys </w:t>
      </w:r>
      <w:r w:rsidR="00CC097B" w:rsidRPr="00244C6F">
        <w:rPr>
          <w:rFonts w:ascii="Calibri" w:hAnsi="Calibri" w:cs="Calibri"/>
        </w:rPr>
        <w:t xml:space="preserve">akivaizdžiai rodo, kad pareiškėjai </w:t>
      </w:r>
      <w:r w:rsidR="0027395F" w:rsidRPr="00244C6F">
        <w:rPr>
          <w:rFonts w:ascii="Calibri" w:hAnsi="Calibri" w:cs="Calibri"/>
        </w:rPr>
        <w:t xml:space="preserve">kelia nepagrįstai </w:t>
      </w:r>
      <w:r w:rsidR="00DC2CE3" w:rsidRPr="00244C6F">
        <w:rPr>
          <w:rFonts w:ascii="Calibri" w:hAnsi="Calibri" w:cs="Calibri"/>
        </w:rPr>
        <w:t>didelius</w:t>
      </w:r>
      <w:r w:rsidR="00451872" w:rsidRPr="00244C6F">
        <w:rPr>
          <w:rFonts w:ascii="Calibri" w:hAnsi="Calibri" w:cs="Calibri"/>
        </w:rPr>
        <w:t xml:space="preserve"> arba neįrodomus</w:t>
      </w:r>
      <w:r w:rsidR="00DC2CE3" w:rsidRPr="00244C6F">
        <w:rPr>
          <w:rFonts w:ascii="Calibri" w:hAnsi="Calibri" w:cs="Calibri"/>
        </w:rPr>
        <w:t xml:space="preserve"> reikalavimus, </w:t>
      </w:r>
      <w:r w:rsidR="00192009" w:rsidRPr="00244C6F">
        <w:rPr>
          <w:rFonts w:ascii="Calibri" w:hAnsi="Calibri" w:cs="Calibri"/>
        </w:rPr>
        <w:t>neatitinkančius teismų praktikos tokio pat pobūdžio bylose.</w:t>
      </w:r>
    </w:p>
    <w:p w14:paraId="21EC5F6E" w14:textId="77777777" w:rsidR="00113B9B" w:rsidRPr="00244C6F" w:rsidRDefault="00113B9B" w:rsidP="00113B9B">
      <w:pPr>
        <w:spacing w:after="0"/>
        <w:ind w:firstLine="709"/>
        <w:jc w:val="both"/>
        <w:rPr>
          <w:rFonts w:ascii="Calibri" w:hAnsi="Calibri" w:cs="Calibri"/>
        </w:rPr>
      </w:pPr>
    </w:p>
    <w:p w14:paraId="40377982" w14:textId="0829DAD6" w:rsidR="000D74FE" w:rsidRPr="00244C6F" w:rsidRDefault="009C05BA" w:rsidP="00106871">
      <w:pPr>
        <w:rPr>
          <w:rFonts w:ascii="Calibri" w:hAnsi="Calibri" w:cs="Calibri"/>
          <w:color w:val="0070C0"/>
          <w:sz w:val="48"/>
          <w:szCs w:val="48"/>
        </w:rPr>
      </w:pPr>
      <w:r>
        <w:rPr>
          <w:rFonts w:ascii="Calibri" w:hAnsi="Calibri" w:cs="Calibri"/>
          <w:noProof/>
          <w:color w:val="0070C0"/>
          <w:sz w:val="48"/>
          <w:szCs w:val="48"/>
        </w:rPr>
        <w:drawing>
          <wp:inline distT="0" distB="0" distL="0" distR="0" wp14:anchorId="27612638" wp14:editId="48BD029B">
            <wp:extent cx="5857164" cy="4374337"/>
            <wp:effectExtent l="0" t="0" r="0" b="7620"/>
            <wp:docPr id="150791112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18527" cy="4420165"/>
                    </a:xfrm>
                    <a:prstGeom prst="rect">
                      <a:avLst/>
                    </a:prstGeom>
                    <a:noFill/>
                  </pic:spPr>
                </pic:pic>
              </a:graphicData>
            </a:graphic>
          </wp:inline>
        </w:drawing>
      </w:r>
    </w:p>
    <w:p w14:paraId="6A7FF223" w14:textId="20B33BDD" w:rsidR="000D74FE" w:rsidRPr="00244C6F" w:rsidRDefault="000D74FE" w:rsidP="0018575E">
      <w:pPr>
        <w:rPr>
          <w:rFonts w:ascii="Calibri" w:hAnsi="Calibri" w:cs="Calibri"/>
          <w:i/>
          <w:iCs/>
          <w:color w:val="0070C0"/>
          <w:sz w:val="48"/>
          <w:szCs w:val="48"/>
        </w:rPr>
      </w:pPr>
    </w:p>
    <w:p w14:paraId="72E117C3" w14:textId="5FEF0B32" w:rsidR="00C21798" w:rsidRPr="00244C6F" w:rsidRDefault="005504D9" w:rsidP="00A63F4A">
      <w:pPr>
        <w:rPr>
          <w:rFonts w:ascii="Calibri" w:hAnsi="Calibri" w:cs="Calibri"/>
          <w:color w:val="0070C0"/>
          <w:sz w:val="48"/>
          <w:szCs w:val="48"/>
        </w:rPr>
      </w:pPr>
      <w:r w:rsidRPr="00244C6F">
        <w:rPr>
          <w:rFonts w:ascii="Calibri" w:hAnsi="Calibri" w:cs="Calibri"/>
          <w:i/>
          <w:iCs/>
          <w:color w:val="0070C0"/>
          <w:sz w:val="48"/>
          <w:szCs w:val="48"/>
        </w:rPr>
        <w:br w:type="page"/>
      </w:r>
      <w:r w:rsidR="000835E1" w:rsidRPr="00244C6F">
        <w:rPr>
          <w:rFonts w:ascii="Calibri" w:hAnsi="Calibri" w:cs="Calibri"/>
          <w:color w:val="0070C0"/>
          <w:sz w:val="48"/>
          <w:szCs w:val="48"/>
        </w:rPr>
        <w:lastRenderedPageBreak/>
        <w:t>Apibendrinančios įžvalgos</w:t>
      </w:r>
    </w:p>
    <w:p w14:paraId="50E2AB66" w14:textId="42234E7C" w:rsidR="0017105D" w:rsidRPr="00244C6F" w:rsidRDefault="008C27CD" w:rsidP="002E641C">
      <w:pPr>
        <w:spacing w:after="0"/>
        <w:ind w:firstLine="720"/>
        <w:jc w:val="both"/>
        <w:rPr>
          <w:rFonts w:ascii="Calibri" w:hAnsi="Calibri" w:cs="Calibri"/>
        </w:rPr>
      </w:pPr>
      <w:r w:rsidRPr="00244C6F">
        <w:rPr>
          <w:rFonts w:ascii="Calibri" w:hAnsi="Calibri" w:cs="Calibri"/>
        </w:rPr>
        <w:t xml:space="preserve">2024 </w:t>
      </w:r>
      <w:r w:rsidR="0015723F" w:rsidRPr="00244C6F">
        <w:rPr>
          <w:rFonts w:ascii="Calibri" w:hAnsi="Calibri" w:cs="Calibri"/>
        </w:rPr>
        <w:t xml:space="preserve">metų valstybės deliktinės atsakomybės bylų rodikliai, palyginti </w:t>
      </w:r>
      <w:r w:rsidR="00512DA7" w:rsidRPr="00244C6F">
        <w:rPr>
          <w:rFonts w:ascii="Calibri" w:hAnsi="Calibri" w:cs="Calibri"/>
        </w:rPr>
        <w:t xml:space="preserve">su </w:t>
      </w:r>
      <w:r w:rsidR="004C6272" w:rsidRPr="00244C6F">
        <w:rPr>
          <w:rFonts w:ascii="Calibri" w:hAnsi="Calibri" w:cs="Calibri"/>
        </w:rPr>
        <w:t>ankstesniais metais</w:t>
      </w:r>
      <w:r w:rsidR="00E75BC6" w:rsidRPr="00244C6F">
        <w:rPr>
          <w:rFonts w:ascii="Calibri" w:hAnsi="Calibri" w:cs="Calibri"/>
        </w:rPr>
        <w:t>,</w:t>
      </w:r>
      <w:r w:rsidR="0017105D" w:rsidRPr="00244C6F">
        <w:rPr>
          <w:rFonts w:ascii="Calibri" w:hAnsi="Calibri" w:cs="Calibri"/>
        </w:rPr>
        <w:t xml:space="preserve"> rodo </w:t>
      </w:r>
      <w:r w:rsidR="00F84B4D" w:rsidRPr="00244C6F">
        <w:rPr>
          <w:rFonts w:ascii="Calibri" w:hAnsi="Calibri" w:cs="Calibri"/>
        </w:rPr>
        <w:t xml:space="preserve">mažėjančią </w:t>
      </w:r>
      <w:r w:rsidR="0015723F" w:rsidRPr="00244C6F">
        <w:rPr>
          <w:rFonts w:ascii="Calibri" w:hAnsi="Calibri" w:cs="Calibri"/>
        </w:rPr>
        <w:t xml:space="preserve">neteisėtų </w:t>
      </w:r>
      <w:r w:rsidR="00A95398" w:rsidRPr="00244C6F">
        <w:rPr>
          <w:rFonts w:ascii="Calibri" w:hAnsi="Calibri" w:cs="Calibri"/>
        </w:rPr>
        <w:t xml:space="preserve">valdžios institucijų </w:t>
      </w:r>
      <w:r w:rsidR="00F84B4D" w:rsidRPr="00244C6F">
        <w:rPr>
          <w:rFonts w:ascii="Calibri" w:hAnsi="Calibri" w:cs="Calibri"/>
        </w:rPr>
        <w:t xml:space="preserve">veiksmų </w:t>
      </w:r>
      <w:r w:rsidR="0015723F" w:rsidRPr="00244C6F">
        <w:rPr>
          <w:rFonts w:ascii="Calibri" w:hAnsi="Calibri" w:cs="Calibri"/>
        </w:rPr>
        <w:t>tendenciją</w:t>
      </w:r>
      <w:r w:rsidR="005C64D1" w:rsidRPr="00244C6F">
        <w:rPr>
          <w:rFonts w:ascii="Calibri" w:hAnsi="Calibri" w:cs="Calibri"/>
        </w:rPr>
        <w:t>.</w:t>
      </w:r>
      <w:r w:rsidR="00AB2656" w:rsidRPr="00244C6F">
        <w:rPr>
          <w:rFonts w:ascii="Calibri" w:hAnsi="Calibri" w:cs="Calibri"/>
        </w:rPr>
        <w:t xml:space="preserve"> </w:t>
      </w:r>
      <w:r w:rsidR="0015723F" w:rsidRPr="00244C6F">
        <w:rPr>
          <w:rFonts w:ascii="Calibri" w:hAnsi="Calibri" w:cs="Calibri"/>
        </w:rPr>
        <w:t xml:space="preserve">Šis </w:t>
      </w:r>
      <w:r w:rsidR="00D20037" w:rsidRPr="00244C6F">
        <w:rPr>
          <w:rFonts w:ascii="Calibri" w:hAnsi="Calibri" w:cs="Calibri"/>
        </w:rPr>
        <w:t xml:space="preserve">teigiamas pokytis leidžia </w:t>
      </w:r>
      <w:r w:rsidR="00F84B4D" w:rsidRPr="00244C6F">
        <w:rPr>
          <w:rFonts w:ascii="Calibri" w:hAnsi="Calibri" w:cs="Calibri"/>
        </w:rPr>
        <w:t>daryti prielaidą</w:t>
      </w:r>
      <w:r w:rsidR="00E16B9F" w:rsidRPr="00244C6F">
        <w:rPr>
          <w:rFonts w:ascii="Calibri" w:hAnsi="Calibri" w:cs="Calibri"/>
        </w:rPr>
        <w:t>, kad valdžios institucij</w:t>
      </w:r>
      <w:r w:rsidR="00AB2656" w:rsidRPr="00244C6F">
        <w:rPr>
          <w:rFonts w:ascii="Calibri" w:hAnsi="Calibri" w:cs="Calibri"/>
        </w:rPr>
        <w:t xml:space="preserve">os </w:t>
      </w:r>
      <w:r w:rsidR="00F84B4D" w:rsidRPr="00244C6F">
        <w:rPr>
          <w:rFonts w:ascii="Calibri" w:hAnsi="Calibri" w:cs="Calibri"/>
        </w:rPr>
        <w:t xml:space="preserve">veikia </w:t>
      </w:r>
      <w:r w:rsidR="00B1014A" w:rsidRPr="00244C6F">
        <w:rPr>
          <w:rFonts w:ascii="Calibri" w:hAnsi="Calibri" w:cs="Calibri"/>
        </w:rPr>
        <w:t>atsakingi</w:t>
      </w:r>
      <w:r w:rsidR="00F84B4D" w:rsidRPr="00244C6F">
        <w:rPr>
          <w:rFonts w:ascii="Calibri" w:hAnsi="Calibri" w:cs="Calibri"/>
        </w:rPr>
        <w:t>au</w:t>
      </w:r>
      <w:r w:rsidR="00B1014A" w:rsidRPr="00244C6F">
        <w:rPr>
          <w:rFonts w:ascii="Calibri" w:hAnsi="Calibri" w:cs="Calibri"/>
        </w:rPr>
        <w:t xml:space="preserve">, </w:t>
      </w:r>
      <w:r w:rsidR="00F84B4D" w:rsidRPr="00244C6F">
        <w:rPr>
          <w:rFonts w:ascii="Calibri" w:hAnsi="Calibri" w:cs="Calibri"/>
        </w:rPr>
        <w:t xml:space="preserve">o </w:t>
      </w:r>
      <w:r w:rsidR="00B1014A" w:rsidRPr="00244C6F">
        <w:rPr>
          <w:rFonts w:ascii="Calibri" w:hAnsi="Calibri" w:cs="Calibri"/>
        </w:rPr>
        <w:t>iš anksčiau padarytų klaidų ar pažeidimų daro išvadas</w:t>
      </w:r>
      <w:r w:rsidR="00F84B4D" w:rsidRPr="00244C6F">
        <w:rPr>
          <w:rFonts w:ascii="Calibri" w:hAnsi="Calibri" w:cs="Calibri"/>
        </w:rPr>
        <w:t xml:space="preserve"> ir imasi priemonių</w:t>
      </w:r>
      <w:r w:rsidR="00B1014A" w:rsidRPr="00244C6F">
        <w:rPr>
          <w:rFonts w:ascii="Calibri" w:hAnsi="Calibri" w:cs="Calibri"/>
        </w:rPr>
        <w:t xml:space="preserve"> sistemin</w:t>
      </w:r>
      <w:r w:rsidR="00F84B4D" w:rsidRPr="00244C6F">
        <w:rPr>
          <w:rFonts w:ascii="Calibri" w:hAnsi="Calibri" w:cs="Calibri"/>
        </w:rPr>
        <w:t>ėms</w:t>
      </w:r>
      <w:r w:rsidR="00B1014A" w:rsidRPr="00244C6F">
        <w:rPr>
          <w:rFonts w:ascii="Calibri" w:hAnsi="Calibri" w:cs="Calibri"/>
        </w:rPr>
        <w:t xml:space="preserve"> problem</w:t>
      </w:r>
      <w:r w:rsidR="00F84B4D" w:rsidRPr="00244C6F">
        <w:rPr>
          <w:rFonts w:ascii="Calibri" w:hAnsi="Calibri" w:cs="Calibri"/>
        </w:rPr>
        <w:t>oms spręsti</w:t>
      </w:r>
      <w:r w:rsidR="00B1014A" w:rsidRPr="00244C6F">
        <w:rPr>
          <w:rFonts w:ascii="Calibri" w:hAnsi="Calibri" w:cs="Calibri"/>
        </w:rPr>
        <w:t>.</w:t>
      </w:r>
      <w:r w:rsidR="006577E7" w:rsidRPr="00244C6F">
        <w:rPr>
          <w:rFonts w:ascii="Calibri" w:hAnsi="Calibri" w:cs="Calibri"/>
        </w:rPr>
        <w:t xml:space="preserve"> </w:t>
      </w:r>
      <w:r w:rsidR="00A80AD0" w:rsidRPr="00244C6F">
        <w:rPr>
          <w:rFonts w:ascii="Calibri" w:hAnsi="Calibri" w:cs="Calibri"/>
        </w:rPr>
        <w:t>Vis dėl</w:t>
      </w:r>
      <w:r w:rsidR="00B71140" w:rsidRPr="00244C6F">
        <w:rPr>
          <w:rFonts w:ascii="Calibri" w:hAnsi="Calibri" w:cs="Calibri"/>
        </w:rPr>
        <w:t xml:space="preserve">to, reikalavimų </w:t>
      </w:r>
      <w:r w:rsidR="00554FC5" w:rsidRPr="00244C6F">
        <w:rPr>
          <w:rFonts w:ascii="Calibri" w:hAnsi="Calibri" w:cs="Calibri"/>
        </w:rPr>
        <w:t xml:space="preserve">atlyginti </w:t>
      </w:r>
      <w:r w:rsidR="00B71140" w:rsidRPr="00244C6F">
        <w:rPr>
          <w:rFonts w:ascii="Calibri" w:hAnsi="Calibri" w:cs="Calibri"/>
        </w:rPr>
        <w:t>žal</w:t>
      </w:r>
      <w:r w:rsidR="00554FC5" w:rsidRPr="00244C6F">
        <w:rPr>
          <w:rFonts w:ascii="Calibri" w:hAnsi="Calibri" w:cs="Calibri"/>
        </w:rPr>
        <w:t xml:space="preserve">ą, padarytą </w:t>
      </w:r>
      <w:r w:rsidR="00B2591C" w:rsidRPr="00244C6F">
        <w:rPr>
          <w:rFonts w:ascii="Calibri" w:hAnsi="Calibri" w:cs="Calibri"/>
        </w:rPr>
        <w:t>neteisėt</w:t>
      </w:r>
      <w:r w:rsidR="00554FC5" w:rsidRPr="00244C6F">
        <w:rPr>
          <w:rFonts w:ascii="Calibri" w:hAnsi="Calibri" w:cs="Calibri"/>
        </w:rPr>
        <w:t>ais</w:t>
      </w:r>
      <w:r w:rsidR="00B2591C" w:rsidRPr="00244C6F">
        <w:rPr>
          <w:rFonts w:ascii="Calibri" w:hAnsi="Calibri" w:cs="Calibri"/>
        </w:rPr>
        <w:t xml:space="preserve"> valdžios institucijų </w:t>
      </w:r>
      <w:r w:rsidR="00554FC5" w:rsidRPr="00244C6F">
        <w:rPr>
          <w:rFonts w:ascii="Calibri" w:hAnsi="Calibri" w:cs="Calibri"/>
        </w:rPr>
        <w:t xml:space="preserve">veiksmais, </w:t>
      </w:r>
      <w:r w:rsidR="00B2591C" w:rsidRPr="00244C6F">
        <w:rPr>
          <w:rFonts w:ascii="Calibri" w:hAnsi="Calibri" w:cs="Calibri"/>
        </w:rPr>
        <w:t xml:space="preserve">vis dar </w:t>
      </w:r>
      <w:r w:rsidR="00F84B4D" w:rsidRPr="00244C6F">
        <w:rPr>
          <w:rFonts w:ascii="Calibri" w:hAnsi="Calibri" w:cs="Calibri"/>
        </w:rPr>
        <w:t>gausu</w:t>
      </w:r>
      <w:r w:rsidR="00B2591C" w:rsidRPr="00244C6F">
        <w:rPr>
          <w:rFonts w:ascii="Calibri" w:hAnsi="Calibri" w:cs="Calibri"/>
        </w:rPr>
        <w:t xml:space="preserve">, todėl svarbu </w:t>
      </w:r>
      <w:r w:rsidR="00FE4C51" w:rsidRPr="00244C6F">
        <w:rPr>
          <w:rFonts w:ascii="Calibri" w:hAnsi="Calibri" w:cs="Calibri"/>
        </w:rPr>
        <w:t xml:space="preserve">vertinti jų pagrįstumą. </w:t>
      </w:r>
      <w:r w:rsidR="0017105D" w:rsidRPr="00244C6F">
        <w:rPr>
          <w:rFonts w:ascii="Calibri" w:hAnsi="Calibri" w:cs="Calibri"/>
        </w:rPr>
        <w:t>Teisingumo ministerija</w:t>
      </w:r>
      <w:r w:rsidR="002E4513" w:rsidRPr="00244C6F">
        <w:rPr>
          <w:rFonts w:ascii="Calibri" w:hAnsi="Calibri" w:cs="Calibri"/>
        </w:rPr>
        <w:t xml:space="preserve">, </w:t>
      </w:r>
      <w:r w:rsidR="00500ECA" w:rsidRPr="00244C6F">
        <w:rPr>
          <w:rFonts w:ascii="Calibri" w:hAnsi="Calibri" w:cs="Calibri"/>
        </w:rPr>
        <w:t xml:space="preserve">matydama pagrįstus reikalavimus, </w:t>
      </w:r>
      <w:r w:rsidR="00C8258B" w:rsidRPr="00244C6F">
        <w:rPr>
          <w:rFonts w:ascii="Calibri" w:hAnsi="Calibri" w:cs="Calibri"/>
        </w:rPr>
        <w:t>linkusi spręsti ginčą taikiai, ka</w:t>
      </w:r>
      <w:r w:rsidR="00FE4C51" w:rsidRPr="00244C6F">
        <w:rPr>
          <w:rFonts w:ascii="Calibri" w:hAnsi="Calibri" w:cs="Calibri"/>
        </w:rPr>
        <w:t>s</w:t>
      </w:r>
      <w:r w:rsidR="00C8258B" w:rsidRPr="00244C6F">
        <w:rPr>
          <w:rFonts w:ascii="Calibri" w:hAnsi="Calibri" w:cs="Calibri"/>
        </w:rPr>
        <w:t xml:space="preserve"> </w:t>
      </w:r>
      <w:r w:rsidR="00A56A0E" w:rsidRPr="00244C6F">
        <w:rPr>
          <w:rFonts w:ascii="Calibri" w:hAnsi="Calibri" w:cs="Calibri"/>
        </w:rPr>
        <w:t>akivaizdžiai leidžia sutaupyti bylinėjimosi kašt</w:t>
      </w:r>
      <w:r w:rsidR="00554FC5" w:rsidRPr="00244C6F">
        <w:rPr>
          <w:rFonts w:ascii="Calibri" w:hAnsi="Calibri" w:cs="Calibri"/>
        </w:rPr>
        <w:t>ų</w:t>
      </w:r>
      <w:r w:rsidR="00F9634B" w:rsidRPr="00244C6F">
        <w:rPr>
          <w:rFonts w:ascii="Calibri" w:hAnsi="Calibri" w:cs="Calibri"/>
        </w:rPr>
        <w:t xml:space="preserve"> ir žmogui atlyginti pagrįstą žalą</w:t>
      </w:r>
      <w:r w:rsidR="0093775F" w:rsidRPr="00244C6F">
        <w:rPr>
          <w:rFonts w:ascii="Calibri" w:hAnsi="Calibri" w:cs="Calibri"/>
        </w:rPr>
        <w:t>.</w:t>
      </w:r>
      <w:r w:rsidR="0017105D" w:rsidRPr="00244C6F">
        <w:rPr>
          <w:rFonts w:ascii="Calibri" w:hAnsi="Calibri" w:cs="Calibri"/>
        </w:rPr>
        <w:t xml:space="preserve"> </w:t>
      </w:r>
      <w:r w:rsidR="00F84B4D" w:rsidRPr="00244C6F">
        <w:rPr>
          <w:rFonts w:ascii="Calibri" w:hAnsi="Calibri" w:cs="Calibri"/>
        </w:rPr>
        <w:t>Tokiu būdu</w:t>
      </w:r>
      <w:r w:rsidR="00FA47DD" w:rsidRPr="00244C6F">
        <w:rPr>
          <w:rFonts w:ascii="Calibri" w:hAnsi="Calibri" w:cs="Calibri"/>
        </w:rPr>
        <w:t xml:space="preserve">, atstovaudama valstybei, </w:t>
      </w:r>
      <w:r w:rsidR="00F84B4D" w:rsidRPr="00244C6F">
        <w:rPr>
          <w:rFonts w:ascii="Calibri" w:hAnsi="Calibri" w:cs="Calibri"/>
        </w:rPr>
        <w:t xml:space="preserve">ministerija </w:t>
      </w:r>
      <w:r w:rsidR="00FA47DD" w:rsidRPr="00244C6F">
        <w:rPr>
          <w:rFonts w:ascii="Calibri" w:hAnsi="Calibri" w:cs="Calibri"/>
        </w:rPr>
        <w:t xml:space="preserve">vadovaujasi </w:t>
      </w:r>
      <w:r w:rsidR="008645C2" w:rsidRPr="00244C6F">
        <w:rPr>
          <w:rFonts w:ascii="Calibri" w:hAnsi="Calibri" w:cs="Calibri"/>
        </w:rPr>
        <w:t>valstybės gynimo efektyvumo principu</w:t>
      </w:r>
      <w:r w:rsidR="00023CE6">
        <w:rPr>
          <w:rFonts w:ascii="Calibri" w:hAnsi="Calibri" w:cs="Calibri"/>
        </w:rPr>
        <w:t>, o atlygindama patirtą žalą</w:t>
      </w:r>
      <w:r w:rsidR="00AB09CF" w:rsidRPr="00244C6F">
        <w:rPr>
          <w:rFonts w:ascii="Calibri" w:hAnsi="Calibri" w:cs="Calibri"/>
        </w:rPr>
        <w:t xml:space="preserve"> kartu </w:t>
      </w:r>
      <w:r w:rsidR="00C54EC6" w:rsidRPr="00244C6F">
        <w:rPr>
          <w:rFonts w:ascii="Calibri" w:hAnsi="Calibri" w:cs="Calibri"/>
        </w:rPr>
        <w:t xml:space="preserve">užtikrina </w:t>
      </w:r>
      <w:r w:rsidR="00AB09CF" w:rsidRPr="00244C6F">
        <w:rPr>
          <w:rFonts w:ascii="Calibri" w:hAnsi="Calibri" w:cs="Calibri"/>
        </w:rPr>
        <w:t xml:space="preserve">žmogaus </w:t>
      </w:r>
      <w:r w:rsidR="00E543B3" w:rsidRPr="00244C6F">
        <w:rPr>
          <w:rFonts w:ascii="Calibri" w:hAnsi="Calibri" w:cs="Calibri"/>
        </w:rPr>
        <w:t>teis</w:t>
      </w:r>
      <w:r w:rsidR="00C54EC6" w:rsidRPr="00244C6F">
        <w:rPr>
          <w:rFonts w:ascii="Calibri" w:hAnsi="Calibri" w:cs="Calibri"/>
        </w:rPr>
        <w:t>es</w:t>
      </w:r>
      <w:r w:rsidR="00023CE6">
        <w:rPr>
          <w:rFonts w:ascii="Calibri" w:hAnsi="Calibri" w:cs="Calibri"/>
        </w:rPr>
        <w:t>.</w:t>
      </w:r>
    </w:p>
    <w:p w14:paraId="422116D1" w14:textId="61DF03EE" w:rsidR="009A1623" w:rsidRPr="00244C6F" w:rsidRDefault="00C667E9" w:rsidP="002E641C">
      <w:pPr>
        <w:spacing w:after="0"/>
        <w:ind w:firstLine="720"/>
        <w:jc w:val="both"/>
        <w:rPr>
          <w:rFonts w:ascii="Calibri" w:hAnsi="Calibri" w:cs="Calibri"/>
        </w:rPr>
      </w:pPr>
      <w:r w:rsidRPr="00244C6F">
        <w:rPr>
          <w:rFonts w:ascii="Calibri" w:hAnsi="Calibri" w:cs="Calibri"/>
        </w:rPr>
        <w:t>Atkreiptinas dėmesys į</w:t>
      </w:r>
      <w:r w:rsidR="00512DA7" w:rsidRPr="00244C6F">
        <w:rPr>
          <w:rFonts w:ascii="Calibri" w:hAnsi="Calibri" w:cs="Calibri"/>
        </w:rPr>
        <w:t xml:space="preserve"> </w:t>
      </w:r>
      <w:r w:rsidRPr="00244C6F">
        <w:rPr>
          <w:rFonts w:ascii="Calibri" w:hAnsi="Calibri" w:cs="Calibri"/>
        </w:rPr>
        <w:t xml:space="preserve">pasikartojančias klaidas ir </w:t>
      </w:r>
      <w:r w:rsidR="00512DA7" w:rsidRPr="00244C6F">
        <w:rPr>
          <w:rFonts w:ascii="Calibri" w:hAnsi="Calibri" w:cs="Calibri"/>
        </w:rPr>
        <w:t xml:space="preserve">valstybės institucijų </w:t>
      </w:r>
      <w:r w:rsidRPr="00244C6F">
        <w:rPr>
          <w:rFonts w:ascii="Calibri" w:hAnsi="Calibri" w:cs="Calibri"/>
        </w:rPr>
        <w:t>pažeidimus</w:t>
      </w:r>
      <w:r w:rsidR="004D6406" w:rsidRPr="00244C6F">
        <w:rPr>
          <w:rFonts w:ascii="Calibri" w:hAnsi="Calibri" w:cs="Calibri"/>
        </w:rPr>
        <w:t>.</w:t>
      </w:r>
      <w:r w:rsidR="009A1623" w:rsidRPr="00244C6F">
        <w:rPr>
          <w:rFonts w:ascii="Calibri" w:hAnsi="Calibri" w:cs="Calibri"/>
        </w:rPr>
        <w:t xml:space="preserve"> </w:t>
      </w:r>
      <w:r w:rsidR="004B6A27" w:rsidRPr="00244C6F">
        <w:rPr>
          <w:rFonts w:ascii="Calibri" w:hAnsi="Calibri" w:cs="Calibri"/>
        </w:rPr>
        <w:t xml:space="preserve">Iš ataskaitoje </w:t>
      </w:r>
      <w:r w:rsidR="00C54EC6" w:rsidRPr="00244C6F">
        <w:rPr>
          <w:rFonts w:ascii="Calibri" w:hAnsi="Calibri" w:cs="Calibri"/>
        </w:rPr>
        <w:t xml:space="preserve">pateiktų duomenų </w:t>
      </w:r>
      <w:r w:rsidR="004B6A27" w:rsidRPr="00244C6F">
        <w:rPr>
          <w:rFonts w:ascii="Calibri" w:hAnsi="Calibri" w:cs="Calibri"/>
        </w:rPr>
        <w:t>matyti, kad</w:t>
      </w:r>
      <w:r w:rsidR="009A1623" w:rsidRPr="00244C6F">
        <w:rPr>
          <w:rFonts w:ascii="Calibri" w:hAnsi="Calibri" w:cs="Calibri"/>
        </w:rPr>
        <w:t xml:space="preserve"> neteisėti valdžios institucijų veiksmai dažniausiai buvo </w:t>
      </w:r>
      <w:r w:rsidR="00C54EC6" w:rsidRPr="00244C6F">
        <w:rPr>
          <w:rFonts w:ascii="Calibri" w:hAnsi="Calibri" w:cs="Calibri"/>
        </w:rPr>
        <w:t xml:space="preserve">susiję su </w:t>
      </w:r>
      <w:r w:rsidR="009A1623" w:rsidRPr="00244C6F">
        <w:rPr>
          <w:rFonts w:ascii="Calibri" w:hAnsi="Calibri" w:cs="Calibri"/>
        </w:rPr>
        <w:t>neteisėt</w:t>
      </w:r>
      <w:r w:rsidR="00C54EC6" w:rsidRPr="00244C6F">
        <w:rPr>
          <w:rFonts w:ascii="Calibri" w:hAnsi="Calibri" w:cs="Calibri"/>
        </w:rPr>
        <w:t>ais</w:t>
      </w:r>
      <w:r w:rsidR="009A1623" w:rsidRPr="00244C6F">
        <w:rPr>
          <w:rFonts w:ascii="Calibri" w:hAnsi="Calibri" w:cs="Calibri"/>
        </w:rPr>
        <w:t xml:space="preserve"> ikiteisminio tyrimo pareigūnų, prokurorų</w:t>
      </w:r>
      <w:r w:rsidR="00C54EC6" w:rsidRPr="00244C6F">
        <w:rPr>
          <w:rFonts w:ascii="Calibri" w:hAnsi="Calibri" w:cs="Calibri"/>
        </w:rPr>
        <w:t xml:space="preserve"> ir</w:t>
      </w:r>
      <w:r w:rsidR="009A1623" w:rsidRPr="00244C6F">
        <w:rPr>
          <w:rFonts w:ascii="Calibri" w:hAnsi="Calibri" w:cs="Calibri"/>
        </w:rPr>
        <w:t xml:space="preserve"> teismo veiksm</w:t>
      </w:r>
      <w:r w:rsidR="00C54EC6" w:rsidRPr="00244C6F">
        <w:rPr>
          <w:rFonts w:ascii="Calibri" w:hAnsi="Calibri" w:cs="Calibri"/>
        </w:rPr>
        <w:t>ais</w:t>
      </w:r>
      <w:r w:rsidR="008F704C" w:rsidRPr="00244C6F">
        <w:rPr>
          <w:rFonts w:ascii="Calibri" w:hAnsi="Calibri" w:cs="Calibri"/>
        </w:rPr>
        <w:t xml:space="preserve"> baudžiamajame procese</w:t>
      </w:r>
      <w:r w:rsidR="009A1623" w:rsidRPr="00244C6F">
        <w:rPr>
          <w:rFonts w:ascii="Calibri" w:hAnsi="Calibri" w:cs="Calibri"/>
        </w:rPr>
        <w:t xml:space="preserve">. </w:t>
      </w:r>
      <w:r w:rsidR="00233186" w:rsidRPr="00244C6F">
        <w:rPr>
          <w:rFonts w:ascii="Calibri" w:hAnsi="Calibri" w:cs="Calibri"/>
        </w:rPr>
        <w:t>Š</w:t>
      </w:r>
      <w:r w:rsidR="009A1623" w:rsidRPr="00244C6F">
        <w:rPr>
          <w:rFonts w:ascii="Calibri" w:hAnsi="Calibri" w:cs="Calibri"/>
        </w:rPr>
        <w:t xml:space="preserve">ioje </w:t>
      </w:r>
      <w:r w:rsidR="009A1623" w:rsidRPr="00244C6F">
        <w:rPr>
          <w:rFonts w:ascii="Calibri" w:hAnsi="Calibri" w:cs="Calibri"/>
          <w:i/>
          <w:iCs/>
        </w:rPr>
        <w:t xml:space="preserve">ultima ratio </w:t>
      </w:r>
      <w:r w:rsidR="009A1623" w:rsidRPr="00244C6F">
        <w:rPr>
          <w:rFonts w:ascii="Calibri" w:hAnsi="Calibri" w:cs="Calibri"/>
        </w:rPr>
        <w:t xml:space="preserve">teisės srityje stebimi pasikartojantys pažeidimai dėl netinkamo įstatymo taikymo </w:t>
      </w:r>
      <w:r w:rsidR="00233186" w:rsidRPr="00244C6F">
        <w:rPr>
          <w:rFonts w:ascii="Calibri" w:hAnsi="Calibri" w:cs="Calibri"/>
        </w:rPr>
        <w:t>kelia</w:t>
      </w:r>
      <w:r w:rsidR="009A1623" w:rsidRPr="00244C6F">
        <w:rPr>
          <w:rFonts w:ascii="Calibri" w:hAnsi="Calibri" w:cs="Calibri"/>
        </w:rPr>
        <w:t xml:space="preserve"> </w:t>
      </w:r>
      <w:r w:rsidR="00466356" w:rsidRPr="00244C6F">
        <w:rPr>
          <w:rFonts w:ascii="Calibri" w:hAnsi="Calibri" w:cs="Calibri"/>
        </w:rPr>
        <w:t xml:space="preserve">didelę </w:t>
      </w:r>
      <w:r w:rsidR="006A27BB">
        <w:rPr>
          <w:rFonts w:ascii="Calibri" w:hAnsi="Calibri" w:cs="Calibri"/>
        </w:rPr>
        <w:t xml:space="preserve">grėsmę </w:t>
      </w:r>
      <w:r w:rsidR="00233186" w:rsidRPr="00244C6F">
        <w:rPr>
          <w:rFonts w:ascii="Calibri" w:hAnsi="Calibri" w:cs="Calibri"/>
        </w:rPr>
        <w:t>pagrindin</w:t>
      </w:r>
      <w:r w:rsidR="006A27BB">
        <w:rPr>
          <w:rFonts w:ascii="Calibri" w:hAnsi="Calibri" w:cs="Calibri"/>
        </w:rPr>
        <w:t>ėms</w:t>
      </w:r>
      <w:r w:rsidR="009A1623" w:rsidRPr="00244C6F">
        <w:rPr>
          <w:rFonts w:ascii="Calibri" w:hAnsi="Calibri" w:cs="Calibri"/>
        </w:rPr>
        <w:t xml:space="preserve"> žmogaus tei</w:t>
      </w:r>
      <w:r w:rsidR="006A27BB">
        <w:rPr>
          <w:rFonts w:ascii="Calibri" w:hAnsi="Calibri" w:cs="Calibri"/>
        </w:rPr>
        <w:t>sėms.</w:t>
      </w:r>
    </w:p>
    <w:p w14:paraId="387C397A" w14:textId="11F43278" w:rsidR="00FF499D" w:rsidRPr="00244C6F" w:rsidRDefault="002551A1" w:rsidP="002E641C">
      <w:pPr>
        <w:ind w:firstLine="720"/>
        <w:jc w:val="both"/>
        <w:rPr>
          <w:rFonts w:ascii="Calibri" w:hAnsi="Calibri" w:cs="Calibri"/>
        </w:rPr>
      </w:pPr>
      <w:r w:rsidRPr="00244C6F">
        <w:rPr>
          <w:rFonts w:ascii="Calibri" w:hAnsi="Calibri" w:cs="Calibri"/>
        </w:rPr>
        <w:t xml:space="preserve">Reikėtų išskirti </w:t>
      </w:r>
      <w:r w:rsidR="006D20D0" w:rsidRPr="00244C6F">
        <w:rPr>
          <w:rFonts w:ascii="Calibri" w:hAnsi="Calibri" w:cs="Calibri"/>
        </w:rPr>
        <w:t>šioje ataskaitoje analizuot</w:t>
      </w:r>
      <w:r w:rsidR="00241397" w:rsidRPr="00244C6F">
        <w:rPr>
          <w:rFonts w:ascii="Calibri" w:hAnsi="Calibri" w:cs="Calibri"/>
        </w:rPr>
        <w:t>ą reikalavimų dėl</w:t>
      </w:r>
      <w:r w:rsidR="006D20D0" w:rsidRPr="00244C6F">
        <w:rPr>
          <w:rFonts w:ascii="Calibri" w:hAnsi="Calibri" w:cs="Calibri"/>
        </w:rPr>
        <w:t xml:space="preserve"> turtinės ir neturtinės žalos p</w:t>
      </w:r>
      <w:r w:rsidR="00241397" w:rsidRPr="00244C6F">
        <w:rPr>
          <w:rFonts w:ascii="Calibri" w:hAnsi="Calibri" w:cs="Calibri"/>
        </w:rPr>
        <w:t xml:space="preserve">agrįstumą ir proporcingumą. </w:t>
      </w:r>
      <w:r w:rsidR="00AC5988" w:rsidRPr="00244C6F">
        <w:rPr>
          <w:rFonts w:ascii="Calibri" w:hAnsi="Calibri" w:cs="Calibri"/>
        </w:rPr>
        <w:t xml:space="preserve">Kaip </w:t>
      </w:r>
      <w:r w:rsidR="00ED1F53" w:rsidRPr="00244C6F">
        <w:rPr>
          <w:rFonts w:ascii="Calibri" w:hAnsi="Calibri" w:cs="Calibri"/>
        </w:rPr>
        <w:t xml:space="preserve">rodo </w:t>
      </w:r>
      <w:r w:rsidR="00AC5988" w:rsidRPr="00244C6F">
        <w:rPr>
          <w:rFonts w:ascii="Calibri" w:hAnsi="Calibri" w:cs="Calibri"/>
        </w:rPr>
        <w:t>atlikt</w:t>
      </w:r>
      <w:r w:rsidR="00ED1F53" w:rsidRPr="00244C6F">
        <w:rPr>
          <w:rFonts w:ascii="Calibri" w:hAnsi="Calibri" w:cs="Calibri"/>
        </w:rPr>
        <w:t>i</w:t>
      </w:r>
      <w:r w:rsidR="00AC5988" w:rsidRPr="00244C6F">
        <w:rPr>
          <w:rFonts w:ascii="Calibri" w:hAnsi="Calibri" w:cs="Calibri"/>
        </w:rPr>
        <w:t xml:space="preserve"> skaičiavim</w:t>
      </w:r>
      <w:r w:rsidR="00ED1F53" w:rsidRPr="00244C6F">
        <w:rPr>
          <w:rFonts w:ascii="Calibri" w:hAnsi="Calibri" w:cs="Calibri"/>
        </w:rPr>
        <w:t>ai</w:t>
      </w:r>
      <w:r w:rsidR="00AC5988" w:rsidRPr="00244C6F">
        <w:rPr>
          <w:rFonts w:ascii="Calibri" w:hAnsi="Calibri" w:cs="Calibri"/>
        </w:rPr>
        <w:t xml:space="preserve">, </w:t>
      </w:r>
      <w:r w:rsidR="00B00922" w:rsidRPr="00244C6F">
        <w:rPr>
          <w:rFonts w:ascii="Calibri" w:hAnsi="Calibri" w:cs="Calibri"/>
        </w:rPr>
        <w:t xml:space="preserve">teismo priteisiama </w:t>
      </w:r>
      <w:r w:rsidR="003177F9" w:rsidRPr="00244C6F">
        <w:rPr>
          <w:rFonts w:ascii="Calibri" w:hAnsi="Calibri" w:cs="Calibri"/>
        </w:rPr>
        <w:t>turtinė žal</w:t>
      </w:r>
      <w:r w:rsidR="00B00922" w:rsidRPr="00244C6F">
        <w:rPr>
          <w:rFonts w:ascii="Calibri" w:hAnsi="Calibri" w:cs="Calibri"/>
        </w:rPr>
        <w:t>a</w:t>
      </w:r>
      <w:r w:rsidR="003177F9" w:rsidRPr="00244C6F">
        <w:rPr>
          <w:rFonts w:ascii="Calibri" w:hAnsi="Calibri" w:cs="Calibri"/>
        </w:rPr>
        <w:t xml:space="preserve"> dažniausiai </w:t>
      </w:r>
      <w:r w:rsidR="00DC3EC2" w:rsidRPr="00244C6F">
        <w:rPr>
          <w:rFonts w:ascii="Calibri" w:hAnsi="Calibri" w:cs="Calibri"/>
        </w:rPr>
        <w:t>atitinka</w:t>
      </w:r>
      <w:r w:rsidR="00B00922" w:rsidRPr="00244C6F">
        <w:rPr>
          <w:rFonts w:ascii="Calibri" w:hAnsi="Calibri" w:cs="Calibri"/>
        </w:rPr>
        <w:t xml:space="preserve"> prašo</w:t>
      </w:r>
      <w:r w:rsidR="00BD1B66" w:rsidRPr="00244C6F">
        <w:rPr>
          <w:rFonts w:ascii="Calibri" w:hAnsi="Calibri" w:cs="Calibri"/>
        </w:rPr>
        <w:t>m</w:t>
      </w:r>
      <w:r w:rsidR="00DC3EC2" w:rsidRPr="00244C6F">
        <w:rPr>
          <w:rFonts w:ascii="Calibri" w:hAnsi="Calibri" w:cs="Calibri"/>
        </w:rPr>
        <w:t>ą</w:t>
      </w:r>
      <w:r w:rsidR="00BD1B66" w:rsidRPr="00244C6F">
        <w:rPr>
          <w:rFonts w:ascii="Calibri" w:hAnsi="Calibri" w:cs="Calibri"/>
        </w:rPr>
        <w:t xml:space="preserve"> sum</w:t>
      </w:r>
      <w:r w:rsidR="00DC3EC2" w:rsidRPr="00244C6F">
        <w:rPr>
          <w:rFonts w:ascii="Calibri" w:hAnsi="Calibri" w:cs="Calibri"/>
        </w:rPr>
        <w:t>ą</w:t>
      </w:r>
      <w:r w:rsidR="00BD1B66" w:rsidRPr="00244C6F">
        <w:rPr>
          <w:rFonts w:ascii="Calibri" w:hAnsi="Calibri" w:cs="Calibri"/>
        </w:rPr>
        <w:t xml:space="preserve">, </w:t>
      </w:r>
      <w:r w:rsidR="008535AE" w:rsidRPr="00244C6F">
        <w:rPr>
          <w:rFonts w:ascii="Calibri" w:hAnsi="Calibri" w:cs="Calibri"/>
        </w:rPr>
        <w:t xml:space="preserve">o tai liudija, kad </w:t>
      </w:r>
      <w:r w:rsidR="00BD1B66" w:rsidRPr="00244C6F">
        <w:rPr>
          <w:rFonts w:ascii="Calibri" w:hAnsi="Calibri" w:cs="Calibri"/>
        </w:rPr>
        <w:t xml:space="preserve">žmonėms (ir jų atstovams) yra </w:t>
      </w:r>
      <w:r w:rsidR="008535AE" w:rsidRPr="00244C6F">
        <w:rPr>
          <w:rFonts w:ascii="Calibri" w:hAnsi="Calibri" w:cs="Calibri"/>
        </w:rPr>
        <w:t xml:space="preserve">aiškus </w:t>
      </w:r>
      <w:r w:rsidR="00BC2FA6" w:rsidRPr="00244C6F">
        <w:rPr>
          <w:rFonts w:ascii="Calibri" w:hAnsi="Calibri" w:cs="Calibri"/>
        </w:rPr>
        <w:t>turtinės žalos įrodinėjimo standartas</w:t>
      </w:r>
      <w:r w:rsidR="008535AE" w:rsidRPr="00244C6F">
        <w:rPr>
          <w:rFonts w:ascii="Calibri" w:hAnsi="Calibri" w:cs="Calibri"/>
        </w:rPr>
        <w:t xml:space="preserve">, todėl </w:t>
      </w:r>
      <w:r w:rsidR="00BC2FA6" w:rsidRPr="00244C6F">
        <w:rPr>
          <w:rFonts w:ascii="Calibri" w:hAnsi="Calibri" w:cs="Calibri"/>
        </w:rPr>
        <w:t>prašom</w:t>
      </w:r>
      <w:r w:rsidR="008535AE" w:rsidRPr="00244C6F">
        <w:rPr>
          <w:rFonts w:ascii="Calibri" w:hAnsi="Calibri" w:cs="Calibri"/>
        </w:rPr>
        <w:t>a</w:t>
      </w:r>
      <w:r w:rsidR="00BC2FA6" w:rsidRPr="00244C6F">
        <w:rPr>
          <w:rFonts w:ascii="Calibri" w:hAnsi="Calibri" w:cs="Calibri"/>
        </w:rPr>
        <w:t>s turtinės žalos</w:t>
      </w:r>
      <w:r w:rsidR="008535AE" w:rsidRPr="00244C6F">
        <w:rPr>
          <w:rFonts w:ascii="Calibri" w:hAnsi="Calibri" w:cs="Calibri"/>
        </w:rPr>
        <w:t xml:space="preserve"> atlyginimas</w:t>
      </w:r>
      <w:r w:rsidR="00BC2FA6" w:rsidRPr="00244C6F">
        <w:rPr>
          <w:rFonts w:ascii="Calibri" w:hAnsi="Calibri" w:cs="Calibri"/>
        </w:rPr>
        <w:t xml:space="preserve"> yra </w:t>
      </w:r>
      <w:r w:rsidR="00794979" w:rsidRPr="00244C6F">
        <w:rPr>
          <w:rFonts w:ascii="Calibri" w:hAnsi="Calibri" w:cs="Calibri"/>
        </w:rPr>
        <w:t xml:space="preserve">pakankamai </w:t>
      </w:r>
      <w:r w:rsidR="008535AE" w:rsidRPr="00244C6F">
        <w:rPr>
          <w:rFonts w:ascii="Calibri" w:hAnsi="Calibri" w:cs="Calibri"/>
        </w:rPr>
        <w:t>adekvatus ir</w:t>
      </w:r>
      <w:r w:rsidR="00794979" w:rsidRPr="00244C6F">
        <w:rPr>
          <w:rFonts w:ascii="Calibri" w:hAnsi="Calibri" w:cs="Calibri"/>
        </w:rPr>
        <w:t xml:space="preserve"> pagrįst</w:t>
      </w:r>
      <w:r w:rsidR="008535AE" w:rsidRPr="00244C6F">
        <w:rPr>
          <w:rFonts w:ascii="Calibri" w:hAnsi="Calibri" w:cs="Calibri"/>
        </w:rPr>
        <w:t>a</w:t>
      </w:r>
      <w:r w:rsidR="00794979" w:rsidRPr="00244C6F">
        <w:rPr>
          <w:rFonts w:ascii="Calibri" w:hAnsi="Calibri" w:cs="Calibri"/>
        </w:rPr>
        <w:t xml:space="preserve">s. </w:t>
      </w:r>
      <w:r w:rsidR="00C92AD2" w:rsidRPr="00244C6F">
        <w:rPr>
          <w:rFonts w:ascii="Calibri" w:hAnsi="Calibri" w:cs="Calibri"/>
        </w:rPr>
        <w:t>K</w:t>
      </w:r>
      <w:r w:rsidR="00794979" w:rsidRPr="00244C6F">
        <w:rPr>
          <w:rFonts w:ascii="Calibri" w:hAnsi="Calibri" w:cs="Calibri"/>
        </w:rPr>
        <w:t xml:space="preserve">itokia situacija </w:t>
      </w:r>
      <w:r w:rsidR="00C92AD2" w:rsidRPr="00244C6F">
        <w:rPr>
          <w:rFonts w:ascii="Calibri" w:hAnsi="Calibri" w:cs="Calibri"/>
        </w:rPr>
        <w:t xml:space="preserve">stebima analizuojant </w:t>
      </w:r>
      <w:r w:rsidR="00794979" w:rsidRPr="00244C6F">
        <w:rPr>
          <w:rFonts w:ascii="Calibri" w:hAnsi="Calibri" w:cs="Calibri"/>
        </w:rPr>
        <w:t>neturtinės žalos reikalavim</w:t>
      </w:r>
      <w:r w:rsidR="00C92AD2" w:rsidRPr="00244C6F">
        <w:rPr>
          <w:rFonts w:ascii="Calibri" w:hAnsi="Calibri" w:cs="Calibri"/>
        </w:rPr>
        <w:t>us</w:t>
      </w:r>
      <w:r w:rsidR="00794979" w:rsidRPr="00244C6F">
        <w:rPr>
          <w:rFonts w:ascii="Calibri" w:hAnsi="Calibri" w:cs="Calibri"/>
        </w:rPr>
        <w:t xml:space="preserve"> – </w:t>
      </w:r>
      <w:r w:rsidR="00C92AD2" w:rsidRPr="00244C6F">
        <w:rPr>
          <w:rFonts w:ascii="Calibri" w:hAnsi="Calibri" w:cs="Calibri"/>
        </w:rPr>
        <w:t xml:space="preserve">dažnai </w:t>
      </w:r>
      <w:r w:rsidR="00794979" w:rsidRPr="00244C6F">
        <w:rPr>
          <w:rFonts w:ascii="Calibri" w:hAnsi="Calibri" w:cs="Calibri"/>
        </w:rPr>
        <w:t xml:space="preserve">prašomos sumos </w:t>
      </w:r>
      <w:r w:rsidR="00A1653B" w:rsidRPr="00244C6F">
        <w:rPr>
          <w:rFonts w:ascii="Calibri" w:hAnsi="Calibri" w:cs="Calibri"/>
        </w:rPr>
        <w:t xml:space="preserve">yra </w:t>
      </w:r>
      <w:r w:rsidR="00BF548C" w:rsidRPr="00244C6F">
        <w:rPr>
          <w:rFonts w:ascii="Calibri" w:hAnsi="Calibri" w:cs="Calibri"/>
        </w:rPr>
        <w:t>neproporcingos</w:t>
      </w:r>
      <w:r w:rsidR="00EA5E7E" w:rsidRPr="00244C6F">
        <w:rPr>
          <w:rFonts w:ascii="Calibri" w:hAnsi="Calibri" w:cs="Calibri"/>
        </w:rPr>
        <w:t xml:space="preserve">. </w:t>
      </w:r>
      <w:r w:rsidR="00FA0566" w:rsidRPr="00244C6F">
        <w:rPr>
          <w:rFonts w:ascii="Calibri" w:hAnsi="Calibri" w:cs="Calibri"/>
        </w:rPr>
        <w:t>T</w:t>
      </w:r>
      <w:r w:rsidR="00D43470" w:rsidRPr="00244C6F">
        <w:rPr>
          <w:rFonts w:ascii="Calibri" w:hAnsi="Calibri" w:cs="Calibri"/>
        </w:rPr>
        <w:t>eismai</w:t>
      </w:r>
      <w:r w:rsidR="00C92AD2" w:rsidRPr="00244C6F">
        <w:rPr>
          <w:rFonts w:ascii="Calibri" w:hAnsi="Calibri" w:cs="Calibri"/>
        </w:rPr>
        <w:t xml:space="preserve">, vadovaudamiesi nusistovėjusia praktika </w:t>
      </w:r>
      <w:r w:rsidR="00D43470" w:rsidRPr="00244C6F">
        <w:rPr>
          <w:rFonts w:ascii="Calibri" w:hAnsi="Calibri" w:cs="Calibri"/>
        </w:rPr>
        <w:t>panašaus pobūdžio bylose</w:t>
      </w:r>
      <w:r w:rsidR="00C92AD2" w:rsidRPr="00244C6F">
        <w:rPr>
          <w:rFonts w:ascii="Calibri" w:hAnsi="Calibri" w:cs="Calibri"/>
        </w:rPr>
        <w:t>,</w:t>
      </w:r>
      <w:r w:rsidR="00D43470" w:rsidRPr="00244C6F">
        <w:rPr>
          <w:rFonts w:ascii="Calibri" w:hAnsi="Calibri" w:cs="Calibri"/>
        </w:rPr>
        <w:t xml:space="preserve"> </w:t>
      </w:r>
      <w:r w:rsidR="002B2AA0" w:rsidRPr="00244C6F">
        <w:rPr>
          <w:rFonts w:ascii="Calibri" w:hAnsi="Calibri" w:cs="Calibri"/>
        </w:rPr>
        <w:t>įvertin</w:t>
      </w:r>
      <w:r w:rsidR="00C92AD2" w:rsidRPr="00244C6F">
        <w:rPr>
          <w:rFonts w:ascii="Calibri" w:hAnsi="Calibri" w:cs="Calibri"/>
        </w:rPr>
        <w:t>a</w:t>
      </w:r>
      <w:r w:rsidR="002B2AA0" w:rsidRPr="00244C6F">
        <w:rPr>
          <w:rFonts w:ascii="Calibri" w:hAnsi="Calibri" w:cs="Calibri"/>
        </w:rPr>
        <w:t xml:space="preserve"> individualias bylos aplinkybes</w:t>
      </w:r>
      <w:r w:rsidR="00C92AD2" w:rsidRPr="00244C6F">
        <w:rPr>
          <w:rFonts w:ascii="Calibri" w:hAnsi="Calibri" w:cs="Calibri"/>
        </w:rPr>
        <w:t xml:space="preserve"> ir</w:t>
      </w:r>
      <w:r w:rsidR="002B2AA0" w:rsidRPr="00244C6F">
        <w:rPr>
          <w:rFonts w:ascii="Calibri" w:hAnsi="Calibri" w:cs="Calibri"/>
        </w:rPr>
        <w:t xml:space="preserve"> priteisia </w:t>
      </w:r>
      <w:r w:rsidR="00E176B4" w:rsidRPr="00244C6F">
        <w:rPr>
          <w:rFonts w:ascii="Calibri" w:hAnsi="Calibri" w:cs="Calibri"/>
        </w:rPr>
        <w:t xml:space="preserve">tokias </w:t>
      </w:r>
      <w:r w:rsidR="002B2AA0" w:rsidRPr="00244C6F">
        <w:rPr>
          <w:rFonts w:ascii="Calibri" w:hAnsi="Calibri" w:cs="Calibri"/>
        </w:rPr>
        <w:t>sumas</w:t>
      </w:r>
      <w:r w:rsidR="0007116A" w:rsidRPr="00244C6F">
        <w:rPr>
          <w:rFonts w:ascii="Calibri" w:hAnsi="Calibri" w:cs="Calibri"/>
        </w:rPr>
        <w:t xml:space="preserve">, kurios </w:t>
      </w:r>
      <w:r w:rsidR="00C92AD2" w:rsidRPr="00244C6F">
        <w:rPr>
          <w:rFonts w:ascii="Calibri" w:hAnsi="Calibri" w:cs="Calibri"/>
        </w:rPr>
        <w:t xml:space="preserve">nedaug skiriasi nuo </w:t>
      </w:r>
      <w:r w:rsidR="0007116A" w:rsidRPr="00244C6F">
        <w:rPr>
          <w:rFonts w:ascii="Calibri" w:hAnsi="Calibri" w:cs="Calibri"/>
        </w:rPr>
        <w:t>teismų praktikoje</w:t>
      </w:r>
      <w:r w:rsidR="00C92AD2" w:rsidRPr="00244C6F">
        <w:rPr>
          <w:rFonts w:ascii="Calibri" w:hAnsi="Calibri" w:cs="Calibri"/>
        </w:rPr>
        <w:t xml:space="preserve"> vyraujančių </w:t>
      </w:r>
      <w:r w:rsidR="00A53B98" w:rsidRPr="00244C6F">
        <w:rPr>
          <w:rFonts w:ascii="Calibri" w:hAnsi="Calibri" w:cs="Calibri"/>
        </w:rPr>
        <w:t xml:space="preserve">sumų </w:t>
      </w:r>
      <w:r w:rsidR="002B2AA0" w:rsidRPr="00244C6F">
        <w:rPr>
          <w:rFonts w:ascii="Calibri" w:hAnsi="Calibri" w:cs="Calibri"/>
        </w:rPr>
        <w:t>neturtinei žalai atlyginti.</w:t>
      </w:r>
      <w:r w:rsidR="0091192A" w:rsidRPr="00244C6F">
        <w:rPr>
          <w:rFonts w:ascii="Calibri" w:hAnsi="Calibri" w:cs="Calibri"/>
        </w:rPr>
        <w:t xml:space="preserve"> </w:t>
      </w:r>
    </w:p>
    <w:p w14:paraId="7F0EBD63" w14:textId="77777777" w:rsidR="000835E1" w:rsidRPr="00244C6F" w:rsidRDefault="000835E1" w:rsidP="00693C58">
      <w:pPr>
        <w:rPr>
          <w:rFonts w:ascii="Calibri" w:hAnsi="Calibri" w:cs="Calibri"/>
        </w:rPr>
      </w:pPr>
    </w:p>
    <w:p w14:paraId="186EB968" w14:textId="77777777" w:rsidR="008F7F3C" w:rsidRPr="00244C6F" w:rsidRDefault="008F7F3C" w:rsidP="00693C58">
      <w:pPr>
        <w:rPr>
          <w:rFonts w:ascii="Calibri" w:hAnsi="Calibri" w:cs="Calibri"/>
        </w:rPr>
      </w:pPr>
    </w:p>
    <w:p w14:paraId="66059F50" w14:textId="77777777" w:rsidR="008F7F3C" w:rsidRPr="00244C6F" w:rsidRDefault="008F7F3C" w:rsidP="00693C58">
      <w:pPr>
        <w:rPr>
          <w:rFonts w:ascii="Calibri" w:hAnsi="Calibri" w:cs="Calibri"/>
        </w:rPr>
      </w:pPr>
    </w:p>
    <w:p w14:paraId="7BD73D66" w14:textId="77777777" w:rsidR="008F7F3C" w:rsidRPr="00244C6F" w:rsidRDefault="008F7F3C" w:rsidP="00693C58">
      <w:pPr>
        <w:rPr>
          <w:rFonts w:ascii="Calibri" w:hAnsi="Calibri" w:cs="Calibri"/>
        </w:rPr>
      </w:pPr>
    </w:p>
    <w:p w14:paraId="41835A12" w14:textId="55E94019" w:rsidR="008F7F3C" w:rsidRPr="00244C6F" w:rsidRDefault="008F7F3C" w:rsidP="008F7F3C">
      <w:pPr>
        <w:jc w:val="center"/>
        <w:rPr>
          <w:rFonts w:ascii="Calibri" w:hAnsi="Calibri" w:cs="Calibri"/>
        </w:rPr>
      </w:pPr>
      <w:r w:rsidRPr="00244C6F">
        <w:rPr>
          <w:rFonts w:ascii="Calibri" w:hAnsi="Calibri" w:cs="Calibri"/>
        </w:rPr>
        <w:t>––––––––––––––––––––</w:t>
      </w:r>
      <w:bookmarkEnd w:id="1"/>
    </w:p>
    <w:sectPr w:rsidR="008F7F3C" w:rsidRPr="00244C6F" w:rsidSect="003C0AF0">
      <w:footerReference w:type="default" r:id="rId2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12C3" w14:textId="77777777" w:rsidR="00F522AC" w:rsidRDefault="00F522AC" w:rsidP="00A001FC">
      <w:pPr>
        <w:spacing w:after="0" w:line="240" w:lineRule="auto"/>
      </w:pPr>
      <w:r>
        <w:separator/>
      </w:r>
    </w:p>
  </w:endnote>
  <w:endnote w:type="continuationSeparator" w:id="0">
    <w:p w14:paraId="468657CF" w14:textId="77777777" w:rsidR="00F522AC" w:rsidRDefault="00F522AC" w:rsidP="00A0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614857"/>
      <w:docPartObj>
        <w:docPartGallery w:val="Page Numbers (Bottom of Page)"/>
        <w:docPartUnique/>
      </w:docPartObj>
    </w:sdtPr>
    <w:sdtEndPr/>
    <w:sdtContent>
      <w:p w14:paraId="45787242" w14:textId="66AE11D0" w:rsidR="00B4615D" w:rsidRDefault="00B4615D">
        <w:pPr>
          <w:pStyle w:val="Porat"/>
          <w:jc w:val="center"/>
        </w:pPr>
        <w:r>
          <w:fldChar w:fldCharType="begin"/>
        </w:r>
        <w:r>
          <w:instrText>PAGE   \* MERGEFORMAT</w:instrText>
        </w:r>
        <w:r>
          <w:fldChar w:fldCharType="separate"/>
        </w:r>
        <w:r>
          <w:t>2</w:t>
        </w:r>
        <w:r>
          <w:fldChar w:fldCharType="end"/>
        </w:r>
      </w:p>
    </w:sdtContent>
  </w:sdt>
  <w:p w14:paraId="694B11F7" w14:textId="77777777" w:rsidR="00B4615D" w:rsidRDefault="00B461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D6AA" w14:textId="77777777" w:rsidR="00F522AC" w:rsidRDefault="00F522AC" w:rsidP="00A001FC">
      <w:pPr>
        <w:spacing w:after="0" w:line="240" w:lineRule="auto"/>
      </w:pPr>
      <w:r>
        <w:separator/>
      </w:r>
    </w:p>
  </w:footnote>
  <w:footnote w:type="continuationSeparator" w:id="0">
    <w:p w14:paraId="337ADEDD" w14:textId="77777777" w:rsidR="00F522AC" w:rsidRDefault="00F522AC" w:rsidP="00A001FC">
      <w:pPr>
        <w:spacing w:after="0" w:line="240" w:lineRule="auto"/>
      </w:pPr>
      <w:r>
        <w:continuationSeparator/>
      </w:r>
    </w:p>
  </w:footnote>
  <w:footnote w:id="1">
    <w:p w14:paraId="4B94250F" w14:textId="31FAB2FF" w:rsidR="007467E0" w:rsidRDefault="007467E0" w:rsidP="002E641C">
      <w:pPr>
        <w:pStyle w:val="Puslapioinaostekstas"/>
        <w:jc w:val="both"/>
      </w:pPr>
      <w:r>
        <w:rPr>
          <w:rStyle w:val="Puslapioinaosnuoroda"/>
        </w:rPr>
        <w:footnoteRef/>
      </w:r>
      <w:r>
        <w:t xml:space="preserve"> Informacijos tikslumas priklauso nuo to, </w:t>
      </w:r>
      <w:r w:rsidR="002C004D">
        <w:t>ar institucijos</w:t>
      </w:r>
      <w:r w:rsidR="00E16B4C">
        <w:t xml:space="preserve"> tinkamai atlieka įstatyme numatytą pareigą ir laiku</w:t>
      </w:r>
      <w:r w:rsidR="001C6120">
        <w:t xml:space="preserve"> pateikia tikslią informaciją </w:t>
      </w:r>
      <w:r w:rsidR="002C004D">
        <w:t xml:space="preserve">apie </w:t>
      </w:r>
      <w:r w:rsidR="00E16B4C">
        <w:t xml:space="preserve">naujai </w:t>
      </w:r>
      <w:r w:rsidR="002C004D">
        <w:t xml:space="preserve">iškeltas bylas ir </w:t>
      </w:r>
      <w:r w:rsidR="001F5DF2">
        <w:t xml:space="preserve">joms </w:t>
      </w:r>
      <w:r w:rsidR="002C004D">
        <w:t>priimtus sprendimus.</w:t>
      </w:r>
    </w:p>
  </w:footnote>
  <w:footnote w:id="2">
    <w:p w14:paraId="73FEB4D7" w14:textId="2C38B050" w:rsidR="00F7115B" w:rsidRPr="00C31B82" w:rsidRDefault="00F7115B" w:rsidP="00097065">
      <w:pPr>
        <w:pStyle w:val="Puslapioinaostekstas"/>
        <w:jc w:val="both"/>
      </w:pPr>
      <w:r w:rsidRPr="00C31B82">
        <w:rPr>
          <w:rStyle w:val="Puslapioinaosnuoroda"/>
        </w:rPr>
        <w:footnoteRef/>
      </w:r>
      <w:r w:rsidRPr="00C31B82">
        <w:t xml:space="preserve"> Šis skaičius latentinis, kadangi ne visos institucijos praneša apie </w:t>
      </w:r>
      <w:r w:rsidR="00A119F8">
        <w:t>joms</w:t>
      </w:r>
      <w:r w:rsidRPr="00C31B82">
        <w:t xml:space="preserve"> iškeltas bylas dėl neteisėtų veiksmų, taip pat ne </w:t>
      </w:r>
      <w:r w:rsidR="00A119F8">
        <w:t>visada</w:t>
      </w:r>
      <w:r w:rsidR="00A119F8" w:rsidRPr="00C31B82">
        <w:t xml:space="preserve"> </w:t>
      </w:r>
      <w:r w:rsidRPr="00C31B82">
        <w:t>asmenys, kurių naudai priimami sprendimai, kreipiasi į Teisingumo ministeriją dėl žalos atlyginimo.</w:t>
      </w:r>
    </w:p>
  </w:footnote>
  <w:footnote w:id="3">
    <w:p w14:paraId="69849303" w14:textId="66C1F244" w:rsidR="00FB7E3D" w:rsidRDefault="00FB7E3D" w:rsidP="00874637">
      <w:pPr>
        <w:pStyle w:val="Puslapioinaostekstas"/>
        <w:jc w:val="both"/>
      </w:pPr>
      <w:r>
        <w:rPr>
          <w:rStyle w:val="Puslapioinaosnuoroda"/>
        </w:rPr>
        <w:footnoteRef/>
      </w:r>
      <w:r>
        <w:t xml:space="preserve"> </w:t>
      </w:r>
      <w:r w:rsidR="00491A63">
        <w:t>B</w:t>
      </w:r>
      <w:r w:rsidR="006613AA">
        <w:t xml:space="preserve">uvo </w:t>
      </w:r>
      <w:r w:rsidR="003C4E7B">
        <w:t>priimt</w:t>
      </w:r>
      <w:r w:rsidR="00154629">
        <w:t>i</w:t>
      </w:r>
      <w:r w:rsidR="00E31617">
        <w:t xml:space="preserve"> 49 sprendimai</w:t>
      </w:r>
      <w:r w:rsidR="00491A63">
        <w:t xml:space="preserve"> dėl kalinimo sąlygų</w:t>
      </w:r>
      <w:r w:rsidR="00E31617">
        <w:t>,</w:t>
      </w:r>
      <w:r w:rsidR="00B13453">
        <w:t xml:space="preserve"> </w:t>
      </w:r>
      <w:r w:rsidR="006613AA">
        <w:t xml:space="preserve">kuriais </w:t>
      </w:r>
      <w:r w:rsidR="00B13453">
        <w:t>priteista 40 801</w:t>
      </w:r>
      <w:r w:rsidR="006613AA" w:rsidRPr="006613AA">
        <w:t> </w:t>
      </w:r>
      <w:r w:rsidR="00463A71">
        <w:t>Eur.</w:t>
      </w:r>
      <w:r w:rsidR="009E47B7">
        <w:t xml:space="preserve"> Tačiau šioje apžvalgoje </w:t>
      </w:r>
      <w:r w:rsidR="006613AA">
        <w:t xml:space="preserve">teismų </w:t>
      </w:r>
      <w:r w:rsidR="009E47B7">
        <w:t>sprendimai</w:t>
      </w:r>
      <w:r w:rsidR="006613AA">
        <w:t xml:space="preserve">, susiję su </w:t>
      </w:r>
      <w:r w:rsidR="00D42085">
        <w:t>netinkam</w:t>
      </w:r>
      <w:r w:rsidR="006613AA">
        <w:t>omis</w:t>
      </w:r>
      <w:r w:rsidR="00D42085">
        <w:t xml:space="preserve"> </w:t>
      </w:r>
      <w:r w:rsidR="005B6D9C">
        <w:t>kalinimo sąlyg</w:t>
      </w:r>
      <w:r w:rsidR="006613AA">
        <w:t>omis,</w:t>
      </w:r>
      <w:r w:rsidR="005B6D9C">
        <w:t xml:space="preserve"> neanalizuojami</w:t>
      </w:r>
      <w:r w:rsidR="006613AA">
        <w:t>, nes</w:t>
      </w:r>
      <w:r w:rsidR="00D03535">
        <w:t xml:space="preserve"> Teisingumo ministerija </w:t>
      </w:r>
      <w:r w:rsidR="004E4AB5" w:rsidRPr="00045AFA">
        <w:t>stebėseną vykdo kartu su Lietuvos kalėjimų tarnyba</w:t>
      </w:r>
      <w:r w:rsidR="00045AFA" w:rsidRPr="00045AFA">
        <w:t>.</w:t>
      </w:r>
    </w:p>
  </w:footnote>
  <w:footnote w:id="4">
    <w:p w14:paraId="62A4487E" w14:textId="11D93785" w:rsidR="00DC16B0" w:rsidRDefault="00DC16B0" w:rsidP="00097065">
      <w:pPr>
        <w:pStyle w:val="Puslapioinaostekstas"/>
        <w:jc w:val="both"/>
      </w:pPr>
      <w:r>
        <w:rPr>
          <w:rStyle w:val="Puslapioinaosnuoroda"/>
        </w:rPr>
        <w:footnoteRef/>
      </w:r>
      <w:r>
        <w:t xml:space="preserve"> </w:t>
      </w:r>
      <w:r w:rsidR="009F7F09" w:rsidRPr="009F7F09">
        <w:t>Teismo mediacijos proces</w:t>
      </w:r>
      <w:r w:rsidR="000C6974">
        <w:t>u</w:t>
      </w:r>
      <w:r w:rsidR="009F7F09" w:rsidRPr="009F7F09">
        <w:t xml:space="preserve"> reikalavimai</w:t>
      </w:r>
      <w:r w:rsidR="009F7F09">
        <w:t xml:space="preserve"> </w:t>
      </w:r>
      <w:r w:rsidR="00BF5FD5" w:rsidRPr="009F7F09">
        <w:t xml:space="preserve">sumažinti </w:t>
      </w:r>
      <w:r w:rsidR="009F7F09">
        <w:t>878 965,31</w:t>
      </w:r>
      <w:r w:rsidR="00BF5FD5">
        <w:t> </w:t>
      </w:r>
      <w:r w:rsidR="009F7F09">
        <w:t>Eur</w:t>
      </w:r>
      <w:r w:rsidR="000C6974">
        <w:t>, o</w:t>
      </w:r>
      <w:r w:rsidR="00F1512B">
        <w:t xml:space="preserve"> taiko</w:t>
      </w:r>
      <w:r w:rsidR="00157638">
        <w:t>s</w:t>
      </w:r>
      <w:r w:rsidR="00F1512B">
        <w:t xml:space="preserve"> sutartimis </w:t>
      </w:r>
      <w:r w:rsidR="000C6974">
        <w:t xml:space="preserve">– </w:t>
      </w:r>
      <w:r w:rsidR="00F1512B" w:rsidRPr="00F1512B">
        <w:t>969 516,70</w:t>
      </w:r>
      <w:r w:rsidR="00BF5FD5" w:rsidRPr="00F1512B">
        <w:t> </w:t>
      </w:r>
      <w:r w:rsidR="00F1512B" w:rsidRPr="00F1512B">
        <w:t>Eur</w:t>
      </w:r>
      <w:r w:rsidR="00F1512B">
        <w:t>.</w:t>
      </w:r>
    </w:p>
  </w:footnote>
  <w:footnote w:id="5">
    <w:p w14:paraId="42FFAE6F" w14:textId="6126686E" w:rsidR="00966210" w:rsidRDefault="00966210" w:rsidP="00097065">
      <w:pPr>
        <w:pStyle w:val="Puslapioinaostekstas"/>
        <w:jc w:val="both"/>
      </w:pPr>
      <w:r>
        <w:rPr>
          <w:rStyle w:val="Puslapioinaosnuoroda"/>
        </w:rPr>
        <w:footnoteRef/>
      </w:r>
      <w:r>
        <w:t xml:space="preserve"> </w:t>
      </w:r>
      <w:r w:rsidR="00C7218F" w:rsidRPr="00C7218F">
        <w:t xml:space="preserve">Valstybė, atlyginusi dėl ikiteisminio tyrimo pareigūno, prokuratūros ar teismo pareigūno, teisėjo </w:t>
      </w:r>
      <w:r w:rsidR="00C7218F" w:rsidRPr="00053540">
        <w:rPr>
          <w:i/>
          <w:iCs/>
        </w:rPr>
        <w:t>tyčinių veiksmų</w:t>
      </w:r>
      <w:r w:rsidR="00C7218F" w:rsidRPr="00C7218F">
        <w:t xml:space="preserve"> (aktų) atsiradusią žalą, įgyja regreso (atgręžtinio reikalavimo) teisę,</w:t>
      </w:r>
      <w:r w:rsidR="00290FA0">
        <w:t xml:space="preserve"> </w:t>
      </w:r>
      <w:r w:rsidR="00C7218F" w:rsidRPr="00C7218F">
        <w:t>kurią įgyvendindama</w:t>
      </w:r>
      <w:r w:rsidR="00290FA0">
        <w:t xml:space="preserve"> </w:t>
      </w:r>
      <w:r w:rsidR="00C7218F" w:rsidRPr="00C7218F">
        <w:t>privalo teismo tvarka išieškoti iš šių asmenų tiek, kiek ji sumokėjo žalos atlyginimo. Valstybė, atlyginusi dėl kitų valdžios institucijų pareigūnų, valstybės tarnautojų ar kitų darbuotojų kaltų veiksmų (aktų) atsiradusią žalą, įgyja regreso (atgręžtinio reikalavimo) teisę,</w:t>
      </w:r>
      <w:r w:rsidR="00290FA0">
        <w:t xml:space="preserve"> </w:t>
      </w:r>
      <w:r w:rsidR="00C7218F" w:rsidRPr="00C7218F">
        <w:t>kurią įgyvendindama</w:t>
      </w:r>
      <w:r w:rsidR="00290FA0">
        <w:t xml:space="preserve"> </w:t>
      </w:r>
      <w:r w:rsidR="00C7218F" w:rsidRPr="00C7218F">
        <w:t>privalo teismo tvarka išieškoti iš šių asmenų tiek, kiek ji sumokėjo, bet ne daugiau kaip 9 vidutinius jų darbo užmokesčius, o jeigu žala padaryta tyčia, – tiek, kiek ji sumokėjo žalos atlyginimo.</w:t>
      </w:r>
      <w:r w:rsidR="00CC1EDC">
        <w:t xml:space="preserve"> </w:t>
      </w:r>
    </w:p>
  </w:footnote>
  <w:footnote w:id="6">
    <w:p w14:paraId="5775024A" w14:textId="4735E1B0" w:rsidR="00A54493" w:rsidRPr="00C31B82" w:rsidRDefault="00A54493" w:rsidP="00725811">
      <w:pPr>
        <w:pStyle w:val="Puslapioinaostekstas"/>
        <w:jc w:val="both"/>
        <w:rPr>
          <w:rFonts w:cs="Calibri"/>
        </w:rPr>
      </w:pPr>
      <w:r w:rsidRPr="00C31B82">
        <w:rPr>
          <w:rStyle w:val="Puslapioinaosnuoroda"/>
          <w:rFonts w:cs="Calibri"/>
        </w:rPr>
        <w:footnoteRef/>
      </w:r>
      <w:r w:rsidRPr="00C31B82">
        <w:rPr>
          <w:rFonts w:cs="Calibri"/>
        </w:rPr>
        <w:t xml:space="preserve"> Klaipėdos apygardos teismo 2024</w:t>
      </w:r>
      <w:r w:rsidR="003E08E9" w:rsidRPr="003E08E9">
        <w:rPr>
          <w:rFonts w:cs="Calibri"/>
        </w:rPr>
        <w:t> </w:t>
      </w:r>
      <w:r w:rsidRPr="00C31B82">
        <w:rPr>
          <w:rFonts w:cs="Calibri"/>
        </w:rPr>
        <w:t>m. sausio 15</w:t>
      </w:r>
      <w:r w:rsidR="003E08E9" w:rsidRPr="003E08E9">
        <w:rPr>
          <w:rFonts w:cs="Calibri"/>
        </w:rPr>
        <w:t> </w:t>
      </w:r>
      <w:r w:rsidRPr="00C31B82">
        <w:rPr>
          <w:rFonts w:cs="Calibri"/>
        </w:rPr>
        <w:t>d. nutartis civilinėje byloje Nr.</w:t>
      </w:r>
      <w:r w:rsidR="003E08E9" w:rsidRPr="003E08E9">
        <w:rPr>
          <w:rFonts w:cs="Calibri"/>
        </w:rPr>
        <w:t> </w:t>
      </w:r>
      <w:r w:rsidRPr="00C31B82">
        <w:rPr>
          <w:rFonts w:cs="Calibri"/>
        </w:rPr>
        <w:t>e2A-68-538/2024.</w:t>
      </w:r>
    </w:p>
  </w:footnote>
  <w:footnote w:id="7">
    <w:p w14:paraId="643DF398" w14:textId="6F5B2FC3" w:rsidR="00A54493" w:rsidRPr="00C31B82" w:rsidRDefault="00A54493" w:rsidP="00725811">
      <w:pPr>
        <w:pStyle w:val="Puslapioinaostekstas"/>
        <w:jc w:val="both"/>
        <w:rPr>
          <w:rFonts w:cs="Calibri"/>
        </w:rPr>
      </w:pPr>
      <w:r w:rsidRPr="00C31B82">
        <w:rPr>
          <w:rStyle w:val="Puslapioinaosnuoroda"/>
          <w:rFonts w:cs="Calibri"/>
        </w:rPr>
        <w:footnoteRef/>
      </w:r>
      <w:r w:rsidRPr="00C31B82">
        <w:rPr>
          <w:rFonts w:cs="Calibri"/>
        </w:rPr>
        <w:t xml:space="preserve"> Vilniaus apygardos teismo 2024</w:t>
      </w:r>
      <w:r w:rsidR="003E08E9" w:rsidRPr="003E08E9">
        <w:rPr>
          <w:rFonts w:cs="Calibri"/>
        </w:rPr>
        <w:t> </w:t>
      </w:r>
      <w:r w:rsidRPr="00C31B82">
        <w:rPr>
          <w:rFonts w:cs="Calibri"/>
        </w:rPr>
        <w:t>m. birželio 5</w:t>
      </w:r>
      <w:r w:rsidR="003E08E9" w:rsidRPr="003E08E9">
        <w:rPr>
          <w:rFonts w:cs="Calibri"/>
        </w:rPr>
        <w:t> </w:t>
      </w:r>
      <w:r w:rsidRPr="00C31B82">
        <w:rPr>
          <w:rFonts w:cs="Calibri"/>
        </w:rPr>
        <w:t>d. nutartis civilinėje byloje Nr.</w:t>
      </w:r>
      <w:r w:rsidR="003E08E9" w:rsidRPr="003E08E9">
        <w:rPr>
          <w:rFonts w:cs="Calibri"/>
        </w:rPr>
        <w:t> </w:t>
      </w:r>
      <w:r w:rsidRPr="00C31B82">
        <w:rPr>
          <w:rFonts w:cs="Calibri"/>
          <w:bCs/>
        </w:rPr>
        <w:t>2A-584-643/2024</w:t>
      </w:r>
      <w:r w:rsidRPr="00C31B82">
        <w:rPr>
          <w:rFonts w:cs="Calibri"/>
        </w:rPr>
        <w:t>.</w:t>
      </w:r>
    </w:p>
  </w:footnote>
  <w:footnote w:id="8">
    <w:p w14:paraId="5E00162E" w14:textId="1582212F" w:rsidR="001F4314" w:rsidRDefault="001F4314" w:rsidP="001F4314">
      <w:pPr>
        <w:pStyle w:val="Puslapioinaostekstas"/>
      </w:pPr>
      <w:r>
        <w:rPr>
          <w:rStyle w:val="Puslapioinaosnuoroda"/>
        </w:rPr>
        <w:footnoteRef/>
      </w:r>
      <w:r>
        <w:t xml:space="preserve"> </w:t>
      </w:r>
      <w:r w:rsidRPr="001F4314">
        <w:t>Klaipėdos apygardos teismo 2024</w:t>
      </w:r>
      <w:r w:rsidR="003E08E9" w:rsidRPr="003E08E9">
        <w:t> </w:t>
      </w:r>
      <w:r w:rsidRPr="001F4314">
        <w:t>m. vasario 29</w:t>
      </w:r>
      <w:r w:rsidR="003E08E9" w:rsidRPr="003E08E9">
        <w:t> </w:t>
      </w:r>
      <w:r w:rsidRPr="001F4314">
        <w:t>d. nutartis civilinėje byloje Nr.</w:t>
      </w:r>
      <w:r w:rsidR="003E08E9" w:rsidRPr="003E08E9">
        <w:t> </w:t>
      </w:r>
      <w:r w:rsidRPr="001F4314">
        <w:t>e2A-110-889/2024 (</w:t>
      </w:r>
      <w:r w:rsidR="00D953B5">
        <w:t>n</w:t>
      </w:r>
      <w:r w:rsidRPr="001F4314">
        <w:t>evieša).</w:t>
      </w:r>
    </w:p>
  </w:footnote>
  <w:footnote w:id="9">
    <w:p w14:paraId="70AE2877" w14:textId="1539357C" w:rsidR="00096D7A" w:rsidRDefault="00096D7A" w:rsidP="00096D7A">
      <w:pPr>
        <w:pStyle w:val="Puslapioinaostekstas"/>
        <w:jc w:val="both"/>
        <w:rPr>
          <w:rFonts w:cs="Calibri"/>
        </w:rPr>
      </w:pPr>
      <w:r>
        <w:rPr>
          <w:rStyle w:val="Puslapioinaosnuoroda"/>
          <w:rFonts w:cs="Calibri"/>
        </w:rPr>
        <w:footnoteRef/>
      </w:r>
      <w:r>
        <w:rPr>
          <w:rFonts w:cs="Calibri"/>
        </w:rPr>
        <w:t xml:space="preserve"> Lietuvos Aukščiausiojo Teismo 2024</w:t>
      </w:r>
      <w:r w:rsidR="003E08E9" w:rsidRPr="003E08E9">
        <w:rPr>
          <w:rFonts w:cs="Calibri"/>
        </w:rPr>
        <w:t> </w:t>
      </w:r>
      <w:r>
        <w:rPr>
          <w:rFonts w:cs="Calibri"/>
        </w:rPr>
        <w:t>m. lapkričio 28</w:t>
      </w:r>
      <w:r w:rsidR="003E08E9" w:rsidRPr="003E08E9">
        <w:rPr>
          <w:rFonts w:cs="Calibri"/>
        </w:rPr>
        <w:t> </w:t>
      </w:r>
      <w:r>
        <w:rPr>
          <w:rFonts w:cs="Calibri"/>
        </w:rPr>
        <w:t>d. nutartis civilinėje byloje Nr.</w:t>
      </w:r>
      <w:r w:rsidR="003E08E9" w:rsidRPr="003E08E9">
        <w:rPr>
          <w:rFonts w:cs="Calibri"/>
        </w:rPr>
        <w:t> </w:t>
      </w:r>
      <w:r>
        <w:rPr>
          <w:rFonts w:cs="Calibri"/>
        </w:rPr>
        <w:t>e3K-3-228-823/2024.</w:t>
      </w:r>
    </w:p>
  </w:footnote>
  <w:footnote w:id="10">
    <w:p w14:paraId="64534BE6" w14:textId="44242147" w:rsidR="00096D7A" w:rsidRPr="00CC1D35" w:rsidRDefault="00096D7A" w:rsidP="00096D7A">
      <w:pPr>
        <w:pStyle w:val="Puslapioinaostekstas"/>
        <w:jc w:val="both"/>
        <w:rPr>
          <w:rFonts w:ascii="Calibri" w:hAnsi="Calibri" w:cs="Calibri"/>
        </w:rPr>
      </w:pPr>
      <w:r>
        <w:rPr>
          <w:rStyle w:val="Puslapioinaosnuoroda"/>
          <w:rFonts w:cs="Calibri"/>
        </w:rPr>
        <w:footnoteRef/>
      </w:r>
      <w:r>
        <w:rPr>
          <w:rFonts w:cs="Calibri"/>
        </w:rPr>
        <w:t xml:space="preserve"> </w:t>
      </w:r>
      <w:r w:rsidRPr="00CC1D35">
        <w:rPr>
          <w:rFonts w:ascii="Calibri" w:hAnsi="Calibri" w:cs="Calibri"/>
        </w:rPr>
        <w:t>Kauno apygardos teismo 2024</w:t>
      </w:r>
      <w:r w:rsidR="00175BAD" w:rsidRPr="00CC1D35">
        <w:rPr>
          <w:rFonts w:ascii="Calibri" w:hAnsi="Calibri" w:cs="Calibri"/>
        </w:rPr>
        <w:t> </w:t>
      </w:r>
      <w:r w:rsidRPr="00CC1D35">
        <w:rPr>
          <w:rFonts w:ascii="Calibri" w:hAnsi="Calibri" w:cs="Calibri"/>
        </w:rPr>
        <w:t>m. gegužės 28</w:t>
      </w:r>
      <w:r w:rsidR="00175BAD" w:rsidRPr="00CC1D35">
        <w:rPr>
          <w:rFonts w:ascii="Calibri" w:hAnsi="Calibri" w:cs="Calibri"/>
        </w:rPr>
        <w:t> </w:t>
      </w:r>
      <w:r w:rsidRPr="00CC1D35">
        <w:rPr>
          <w:rFonts w:ascii="Calibri" w:hAnsi="Calibri" w:cs="Calibri"/>
        </w:rPr>
        <w:t>d. nutartis civilinėje byloje Nr.</w:t>
      </w:r>
      <w:r w:rsidR="008300BC" w:rsidRPr="00CC1D35">
        <w:rPr>
          <w:rFonts w:ascii="Calibri" w:hAnsi="Calibri" w:cs="Calibri"/>
        </w:rPr>
        <w:t> </w:t>
      </w:r>
      <w:r w:rsidRPr="00CC1D35">
        <w:rPr>
          <w:rFonts w:ascii="Calibri" w:hAnsi="Calibri" w:cs="Calibri"/>
        </w:rPr>
        <w:t>2A-783-657/2024.</w:t>
      </w:r>
    </w:p>
  </w:footnote>
  <w:footnote w:id="11">
    <w:p w14:paraId="0FEEF9C1" w14:textId="6572E7F4" w:rsidR="00E83127" w:rsidRPr="00CC1D35" w:rsidRDefault="00E83127" w:rsidP="00E83127">
      <w:pPr>
        <w:pStyle w:val="Puslapioinaostekstas"/>
        <w:jc w:val="both"/>
        <w:rPr>
          <w:rFonts w:ascii="Calibri" w:hAnsi="Calibri" w:cs="Calibri"/>
        </w:rPr>
      </w:pPr>
      <w:r w:rsidRPr="00CC1D35">
        <w:rPr>
          <w:rStyle w:val="Puslapioinaosnuoroda"/>
          <w:rFonts w:ascii="Calibri" w:hAnsi="Calibri" w:cs="Calibri"/>
        </w:rPr>
        <w:footnoteRef/>
      </w:r>
      <w:r w:rsidRPr="00CC1D35">
        <w:rPr>
          <w:rFonts w:ascii="Calibri" w:hAnsi="Calibri" w:cs="Calibri"/>
        </w:rPr>
        <w:t xml:space="preserve"> Vilniaus apygardos teismo 2024</w:t>
      </w:r>
      <w:r w:rsidR="00175BAD" w:rsidRPr="00CC1D35">
        <w:rPr>
          <w:rFonts w:ascii="Calibri" w:hAnsi="Calibri" w:cs="Calibri"/>
        </w:rPr>
        <w:t> </w:t>
      </w:r>
      <w:r w:rsidRPr="00CC1D35">
        <w:rPr>
          <w:rFonts w:ascii="Calibri" w:hAnsi="Calibri" w:cs="Calibri"/>
        </w:rPr>
        <w:t>m. rugpjūčio 29</w:t>
      </w:r>
      <w:r w:rsidR="00175BAD" w:rsidRPr="00CC1D35">
        <w:rPr>
          <w:rFonts w:ascii="Calibri" w:hAnsi="Calibri" w:cs="Calibri"/>
        </w:rPr>
        <w:t> </w:t>
      </w:r>
      <w:r w:rsidRPr="00CC1D35">
        <w:rPr>
          <w:rFonts w:ascii="Calibri" w:hAnsi="Calibri" w:cs="Calibri"/>
        </w:rPr>
        <w:t>d. nutartis civilinėje byloje Nr.</w:t>
      </w:r>
      <w:r w:rsidR="008300BC" w:rsidRPr="00CC1D35">
        <w:rPr>
          <w:rFonts w:ascii="Calibri" w:hAnsi="Calibri" w:cs="Calibri"/>
        </w:rPr>
        <w:t> </w:t>
      </w:r>
      <w:r w:rsidRPr="00CC1D35">
        <w:rPr>
          <w:rFonts w:ascii="Calibri" w:hAnsi="Calibri" w:cs="Calibri"/>
        </w:rPr>
        <w:t>e2A-1479-1012/2024.</w:t>
      </w:r>
    </w:p>
  </w:footnote>
  <w:footnote w:id="12">
    <w:p w14:paraId="6A939B55" w14:textId="751643DC" w:rsidR="00096D7A" w:rsidRPr="00CC1D35" w:rsidRDefault="00096D7A" w:rsidP="00096D7A">
      <w:pPr>
        <w:spacing w:after="0"/>
        <w:jc w:val="both"/>
        <w:rPr>
          <w:rFonts w:ascii="Calibri" w:hAnsi="Calibri" w:cs="Calibri"/>
          <w:b/>
          <w:bCs/>
          <w:sz w:val="20"/>
          <w:szCs w:val="20"/>
        </w:rPr>
      </w:pPr>
      <w:r w:rsidRPr="00CC1D35">
        <w:rPr>
          <w:rStyle w:val="Puslapioinaosnuoroda"/>
          <w:rFonts w:ascii="Calibri" w:hAnsi="Calibri" w:cs="Calibri"/>
          <w:sz w:val="20"/>
          <w:szCs w:val="20"/>
        </w:rPr>
        <w:footnoteRef/>
      </w:r>
      <w:r w:rsidRPr="00CC1D35">
        <w:rPr>
          <w:rFonts w:ascii="Calibri" w:hAnsi="Calibri" w:cs="Calibri"/>
          <w:sz w:val="20"/>
          <w:szCs w:val="20"/>
        </w:rPr>
        <w:t xml:space="preserve"> Vilniaus apygardos teismo 2024</w:t>
      </w:r>
      <w:r w:rsidR="00175BAD" w:rsidRPr="00CC1D35">
        <w:rPr>
          <w:rFonts w:ascii="Calibri" w:hAnsi="Calibri" w:cs="Calibri"/>
          <w:sz w:val="20"/>
          <w:szCs w:val="20"/>
        </w:rPr>
        <w:t> </w:t>
      </w:r>
      <w:r w:rsidRPr="00CC1D35">
        <w:rPr>
          <w:rFonts w:ascii="Calibri" w:hAnsi="Calibri" w:cs="Calibri"/>
          <w:sz w:val="20"/>
          <w:szCs w:val="20"/>
        </w:rPr>
        <w:t>m. rugpjūčio 6</w:t>
      </w:r>
      <w:r w:rsidR="00175BAD" w:rsidRPr="00CC1D35">
        <w:rPr>
          <w:rFonts w:ascii="Calibri" w:hAnsi="Calibri" w:cs="Calibri"/>
          <w:sz w:val="20"/>
          <w:szCs w:val="20"/>
        </w:rPr>
        <w:t> </w:t>
      </w:r>
      <w:r w:rsidRPr="00CC1D35">
        <w:rPr>
          <w:rFonts w:ascii="Calibri" w:hAnsi="Calibri" w:cs="Calibri"/>
          <w:sz w:val="20"/>
          <w:szCs w:val="20"/>
        </w:rPr>
        <w:t>d. nutartis civilinėje byloje Nr.</w:t>
      </w:r>
      <w:r w:rsidR="008300BC" w:rsidRPr="00CC1D35">
        <w:rPr>
          <w:rFonts w:ascii="Calibri" w:hAnsi="Calibri" w:cs="Calibri"/>
          <w:sz w:val="20"/>
          <w:szCs w:val="20"/>
        </w:rPr>
        <w:t> </w:t>
      </w:r>
      <w:r w:rsidRPr="00CC1D35">
        <w:rPr>
          <w:rFonts w:ascii="Calibri" w:hAnsi="Calibri" w:cs="Calibri"/>
          <w:sz w:val="20"/>
          <w:szCs w:val="20"/>
        </w:rPr>
        <w:t>e2A-1476-855/2024.</w:t>
      </w:r>
    </w:p>
  </w:footnote>
  <w:footnote w:id="13">
    <w:p w14:paraId="3BBAF17B" w14:textId="634F53CC" w:rsidR="00096D7A" w:rsidRPr="00CC1D35" w:rsidRDefault="00096D7A" w:rsidP="00096D7A">
      <w:pPr>
        <w:spacing w:after="0"/>
        <w:jc w:val="both"/>
        <w:rPr>
          <w:rFonts w:ascii="Calibri" w:hAnsi="Calibri" w:cs="Calibri"/>
          <w:sz w:val="20"/>
          <w:szCs w:val="20"/>
        </w:rPr>
      </w:pPr>
      <w:r w:rsidRPr="00CC1D35">
        <w:rPr>
          <w:rStyle w:val="Puslapioinaosnuoroda"/>
          <w:rFonts w:ascii="Calibri" w:hAnsi="Calibri" w:cs="Calibri"/>
          <w:sz w:val="20"/>
          <w:szCs w:val="20"/>
        </w:rPr>
        <w:footnoteRef/>
      </w:r>
      <w:r w:rsidRPr="00CC1D35">
        <w:rPr>
          <w:rFonts w:ascii="Calibri" w:hAnsi="Calibri" w:cs="Calibri"/>
          <w:sz w:val="20"/>
          <w:szCs w:val="20"/>
        </w:rPr>
        <w:t xml:space="preserve"> Vilniaus apygardos teismo 2024</w:t>
      </w:r>
      <w:r w:rsidR="00175BAD" w:rsidRPr="00CC1D35">
        <w:rPr>
          <w:rFonts w:ascii="Calibri" w:hAnsi="Calibri" w:cs="Calibri"/>
          <w:sz w:val="20"/>
          <w:szCs w:val="20"/>
        </w:rPr>
        <w:t> </w:t>
      </w:r>
      <w:r w:rsidRPr="00CC1D35">
        <w:rPr>
          <w:rFonts w:ascii="Calibri" w:hAnsi="Calibri" w:cs="Calibri"/>
          <w:sz w:val="20"/>
          <w:szCs w:val="20"/>
        </w:rPr>
        <w:t>m. spalio 3</w:t>
      </w:r>
      <w:r w:rsidR="00175BAD" w:rsidRPr="00CC1D35">
        <w:rPr>
          <w:rFonts w:ascii="Calibri" w:hAnsi="Calibri" w:cs="Calibri"/>
          <w:sz w:val="20"/>
          <w:szCs w:val="20"/>
        </w:rPr>
        <w:t> </w:t>
      </w:r>
      <w:r w:rsidRPr="00CC1D35">
        <w:rPr>
          <w:rFonts w:ascii="Calibri" w:hAnsi="Calibri" w:cs="Calibri"/>
          <w:sz w:val="20"/>
          <w:szCs w:val="20"/>
        </w:rPr>
        <w:t>d. sprendimas civilinėje byloje Nr.</w:t>
      </w:r>
      <w:r w:rsidR="008300BC" w:rsidRPr="00CC1D35">
        <w:rPr>
          <w:rFonts w:ascii="Calibri" w:hAnsi="Calibri" w:cs="Calibri"/>
          <w:sz w:val="20"/>
          <w:szCs w:val="20"/>
        </w:rPr>
        <w:t> </w:t>
      </w:r>
      <w:r w:rsidRPr="00CC1D35">
        <w:rPr>
          <w:rFonts w:ascii="Calibri" w:hAnsi="Calibri" w:cs="Calibri"/>
          <w:sz w:val="20"/>
          <w:szCs w:val="20"/>
        </w:rPr>
        <w:t>e2A-1667-656/2024.</w:t>
      </w:r>
    </w:p>
  </w:footnote>
  <w:footnote w:id="14">
    <w:p w14:paraId="2E59EE44" w14:textId="68745A7C" w:rsidR="00272128" w:rsidRPr="006A1D4F" w:rsidRDefault="00272128" w:rsidP="00272128">
      <w:pPr>
        <w:pStyle w:val="Puslapioinaostekstas"/>
        <w:jc w:val="both"/>
        <w:rPr>
          <w:rFonts w:ascii="Calibri" w:hAnsi="Calibri" w:cs="Calibri"/>
        </w:rPr>
      </w:pPr>
      <w:r w:rsidRPr="00CC1D35">
        <w:rPr>
          <w:rStyle w:val="Puslapioinaosnuoroda"/>
          <w:rFonts w:ascii="Calibri" w:hAnsi="Calibri" w:cs="Calibri"/>
        </w:rPr>
        <w:footnoteRef/>
      </w:r>
      <w:r w:rsidRPr="00CC1D35">
        <w:rPr>
          <w:rFonts w:ascii="Calibri" w:hAnsi="Calibri" w:cs="Calibri"/>
        </w:rPr>
        <w:t xml:space="preserve"> Vilniaus apygardos teismo 2024</w:t>
      </w:r>
      <w:r w:rsidR="00175BAD" w:rsidRPr="00CC1D35">
        <w:rPr>
          <w:rFonts w:ascii="Calibri" w:hAnsi="Calibri" w:cs="Calibri"/>
        </w:rPr>
        <w:t> </w:t>
      </w:r>
      <w:r w:rsidRPr="00CC1D35">
        <w:rPr>
          <w:rFonts w:ascii="Calibri" w:hAnsi="Calibri" w:cs="Calibri"/>
        </w:rPr>
        <w:t>m. balandžio 16</w:t>
      </w:r>
      <w:r w:rsidR="00175BAD" w:rsidRPr="00CC1D35">
        <w:rPr>
          <w:rFonts w:ascii="Calibri" w:hAnsi="Calibri" w:cs="Calibri"/>
        </w:rPr>
        <w:t> </w:t>
      </w:r>
      <w:r w:rsidRPr="00CC1D35">
        <w:rPr>
          <w:rFonts w:ascii="Calibri" w:hAnsi="Calibri" w:cs="Calibri"/>
        </w:rPr>
        <w:t>d. nutartis civilinėje byloje Nr.</w:t>
      </w:r>
      <w:r w:rsidR="008300BC" w:rsidRPr="00CC1D35">
        <w:rPr>
          <w:rFonts w:ascii="Calibri" w:hAnsi="Calibri" w:cs="Calibri"/>
        </w:rPr>
        <w:t> </w:t>
      </w:r>
      <w:r w:rsidRPr="00CC1D35">
        <w:rPr>
          <w:rFonts w:ascii="Calibri" w:hAnsi="Calibri" w:cs="Calibri"/>
        </w:rPr>
        <w:t>e2A-661-432/2024.</w:t>
      </w:r>
    </w:p>
  </w:footnote>
  <w:footnote w:id="15">
    <w:p w14:paraId="02A859E3" w14:textId="3051DD93" w:rsidR="005F1E77" w:rsidRPr="00ED62C0" w:rsidRDefault="005F1E77" w:rsidP="00022167">
      <w:pPr>
        <w:pStyle w:val="Puslapioinaostekstas"/>
        <w:jc w:val="both"/>
        <w:rPr>
          <w:rFonts w:cs="Calibri"/>
        </w:rPr>
      </w:pPr>
      <w:r w:rsidRPr="00ED62C0">
        <w:rPr>
          <w:rStyle w:val="Puslapioinaosnuoroda"/>
          <w:rFonts w:ascii="Calibri" w:hAnsi="Calibri" w:cs="Calibri"/>
        </w:rPr>
        <w:footnoteRef/>
      </w:r>
      <w:r w:rsidRPr="00ED62C0">
        <w:rPr>
          <w:rFonts w:ascii="Calibri" w:hAnsi="Calibri" w:cs="Calibri"/>
        </w:rPr>
        <w:t xml:space="preserve"> Lietuvos Aukščiausiojo Teismo 2024</w:t>
      </w:r>
      <w:r w:rsidR="00ED62C0" w:rsidRPr="00ED62C0">
        <w:rPr>
          <w:rFonts w:ascii="Calibri" w:hAnsi="Calibri" w:cs="Calibri"/>
        </w:rPr>
        <w:t> </w:t>
      </w:r>
      <w:r w:rsidRPr="00ED62C0">
        <w:rPr>
          <w:rFonts w:ascii="Calibri" w:hAnsi="Calibri" w:cs="Calibri"/>
        </w:rPr>
        <w:t>m. balandžio 11</w:t>
      </w:r>
      <w:r w:rsidR="00ED62C0" w:rsidRPr="00ED62C0">
        <w:rPr>
          <w:rFonts w:ascii="Calibri" w:hAnsi="Calibri" w:cs="Calibri"/>
        </w:rPr>
        <w:t> </w:t>
      </w:r>
      <w:r w:rsidRPr="00ED62C0">
        <w:rPr>
          <w:rFonts w:ascii="Calibri" w:hAnsi="Calibri" w:cs="Calibri"/>
        </w:rPr>
        <w:t>d. nutartis civilinėje byloje Nr.</w:t>
      </w:r>
      <w:r w:rsidR="00244C6F" w:rsidRPr="00072590">
        <w:rPr>
          <w:rFonts w:ascii="Calibri" w:hAnsi="Calibri" w:cs="Calibri"/>
        </w:rPr>
        <w:t> </w:t>
      </w:r>
      <w:r w:rsidRPr="00ED62C0">
        <w:rPr>
          <w:rFonts w:ascii="Calibri" w:hAnsi="Calibri" w:cs="Calibri"/>
        </w:rPr>
        <w:t>e3K-3-94-421/2024.</w:t>
      </w:r>
    </w:p>
  </w:footnote>
  <w:footnote w:id="16">
    <w:p w14:paraId="76738F38" w14:textId="120EC5C4" w:rsidR="005F1E77" w:rsidRPr="00D71673" w:rsidRDefault="005F1E77" w:rsidP="005229D6">
      <w:pPr>
        <w:spacing w:after="0"/>
        <w:jc w:val="both"/>
        <w:rPr>
          <w:rFonts w:cs="Calibri"/>
          <w:sz w:val="20"/>
          <w:szCs w:val="20"/>
        </w:rPr>
      </w:pPr>
      <w:r w:rsidRPr="00ED62C0">
        <w:rPr>
          <w:rStyle w:val="Puslapioinaosnuoroda"/>
          <w:rFonts w:cs="Calibri"/>
          <w:sz w:val="20"/>
          <w:szCs w:val="20"/>
        </w:rPr>
        <w:footnoteRef/>
      </w:r>
      <w:r w:rsidRPr="00ED62C0">
        <w:rPr>
          <w:rFonts w:cs="Calibri"/>
          <w:sz w:val="20"/>
          <w:szCs w:val="20"/>
        </w:rPr>
        <w:t xml:space="preserve"> Vilniaus miesto apylinkės teismo 2024</w:t>
      </w:r>
      <w:r w:rsidR="00ED62C0" w:rsidRPr="00D71673">
        <w:rPr>
          <w:rFonts w:ascii="Calibri" w:hAnsi="Calibri" w:cs="Calibri"/>
          <w:sz w:val="20"/>
          <w:szCs w:val="20"/>
        </w:rPr>
        <w:t> </w:t>
      </w:r>
      <w:r w:rsidRPr="00ED62C0">
        <w:rPr>
          <w:rFonts w:cs="Calibri"/>
          <w:sz w:val="20"/>
          <w:szCs w:val="20"/>
        </w:rPr>
        <w:t>m. spalio 10</w:t>
      </w:r>
      <w:r w:rsidR="00ED62C0" w:rsidRPr="00D71673">
        <w:rPr>
          <w:rFonts w:ascii="Calibri" w:hAnsi="Calibri" w:cs="Calibri"/>
          <w:sz w:val="20"/>
          <w:szCs w:val="20"/>
        </w:rPr>
        <w:t> </w:t>
      </w:r>
      <w:r w:rsidRPr="00ED62C0">
        <w:rPr>
          <w:rFonts w:cs="Calibri"/>
          <w:sz w:val="20"/>
          <w:szCs w:val="20"/>
        </w:rPr>
        <w:t>d. sprendimas civilinėje byloje Nr.</w:t>
      </w:r>
      <w:r w:rsidR="00244C6F" w:rsidRPr="00072590">
        <w:rPr>
          <w:rFonts w:ascii="Calibri" w:hAnsi="Calibri" w:cs="Calibri"/>
          <w:sz w:val="20"/>
          <w:szCs w:val="20"/>
        </w:rPr>
        <w:t> </w:t>
      </w:r>
      <w:r w:rsidRPr="00ED62C0">
        <w:rPr>
          <w:rFonts w:cs="Calibri"/>
          <w:sz w:val="20"/>
          <w:szCs w:val="20"/>
        </w:rPr>
        <w:t>e2-8592-1134/2024.</w:t>
      </w:r>
    </w:p>
  </w:footnote>
  <w:footnote w:id="17">
    <w:p w14:paraId="4A4A4C88" w14:textId="492AB01D" w:rsidR="005F1E77" w:rsidRPr="00ED62C0" w:rsidRDefault="005F1E77" w:rsidP="005229D6">
      <w:pPr>
        <w:pStyle w:val="Puslapioinaostekstas"/>
        <w:jc w:val="both"/>
        <w:rPr>
          <w:rFonts w:cs="Calibri"/>
        </w:rPr>
      </w:pPr>
      <w:r w:rsidRPr="00ED62C0">
        <w:rPr>
          <w:rStyle w:val="Puslapioinaosnuoroda"/>
          <w:rFonts w:cs="Calibri"/>
        </w:rPr>
        <w:footnoteRef/>
      </w:r>
      <w:r w:rsidRPr="00ED62C0">
        <w:rPr>
          <w:rFonts w:cs="Calibri"/>
        </w:rPr>
        <w:t xml:space="preserve"> Lietuvos Aukščiausiojo Teismo 2024</w:t>
      </w:r>
      <w:r w:rsidR="00ED62C0" w:rsidRPr="00ED62C0">
        <w:rPr>
          <w:rFonts w:cs="Calibri"/>
        </w:rPr>
        <w:t> </w:t>
      </w:r>
      <w:r w:rsidRPr="00ED62C0">
        <w:rPr>
          <w:rFonts w:cs="Calibri"/>
        </w:rPr>
        <w:t>m. balandžio 24</w:t>
      </w:r>
      <w:r w:rsidR="00ED62C0" w:rsidRPr="00ED62C0">
        <w:rPr>
          <w:rFonts w:ascii="Calibri" w:hAnsi="Calibri" w:cs="Calibri"/>
        </w:rPr>
        <w:t> </w:t>
      </w:r>
      <w:r w:rsidRPr="00ED62C0">
        <w:rPr>
          <w:rFonts w:cs="Calibri"/>
        </w:rPr>
        <w:t>d. nutartis baudžiamojoje byloje Nr. 2K-85-594/2024.</w:t>
      </w:r>
    </w:p>
  </w:footnote>
  <w:footnote w:id="18">
    <w:p w14:paraId="7DB84CC1" w14:textId="09768056" w:rsidR="0022254B" w:rsidRPr="00ED62C0" w:rsidRDefault="0022254B" w:rsidP="0022254B">
      <w:pPr>
        <w:keepNext/>
        <w:spacing w:after="0" w:line="240" w:lineRule="auto"/>
        <w:jc w:val="both"/>
        <w:outlineLvl w:val="0"/>
        <w:rPr>
          <w:rFonts w:eastAsia="Times New Roman" w:cs="Calibri"/>
          <w:bCs/>
          <w:sz w:val="20"/>
          <w:szCs w:val="20"/>
        </w:rPr>
      </w:pPr>
      <w:r w:rsidRPr="00ED62C0">
        <w:rPr>
          <w:rStyle w:val="Puslapioinaosnuoroda"/>
          <w:rFonts w:cs="Calibri"/>
          <w:sz w:val="20"/>
          <w:szCs w:val="20"/>
        </w:rPr>
        <w:footnoteRef/>
      </w:r>
      <w:r w:rsidRPr="00ED62C0">
        <w:rPr>
          <w:rFonts w:cs="Calibri"/>
          <w:sz w:val="20"/>
          <w:szCs w:val="20"/>
        </w:rPr>
        <w:t xml:space="preserve"> </w:t>
      </w:r>
      <w:r w:rsidRPr="00ED62C0">
        <w:rPr>
          <w:rFonts w:eastAsia="Times New Roman" w:cs="Calibri"/>
          <w:sz w:val="20"/>
          <w:szCs w:val="20"/>
        </w:rPr>
        <w:t xml:space="preserve">Vilniaus apygardos teismo </w:t>
      </w:r>
      <w:r w:rsidRPr="00ED62C0">
        <w:rPr>
          <w:rFonts w:eastAsia="Times New Roman" w:cs="Calibri"/>
          <w:bCs/>
          <w:sz w:val="20"/>
          <w:szCs w:val="20"/>
        </w:rPr>
        <w:t>2024</w:t>
      </w:r>
      <w:r w:rsidR="00ED62C0" w:rsidRPr="00ED62C0">
        <w:rPr>
          <w:rFonts w:eastAsia="Times New Roman" w:cs="Calibri"/>
          <w:bCs/>
          <w:sz w:val="20"/>
          <w:szCs w:val="20"/>
        </w:rPr>
        <w:t> </w:t>
      </w:r>
      <w:r w:rsidRPr="00ED62C0">
        <w:rPr>
          <w:rFonts w:eastAsia="Times New Roman" w:cs="Calibri"/>
          <w:bCs/>
          <w:sz w:val="20"/>
          <w:szCs w:val="20"/>
        </w:rPr>
        <w:t>m. gegužės 2</w:t>
      </w:r>
      <w:r w:rsidR="00ED62C0" w:rsidRPr="00ED62C0">
        <w:rPr>
          <w:rFonts w:eastAsia="Times New Roman" w:cs="Calibri"/>
          <w:bCs/>
          <w:sz w:val="20"/>
          <w:szCs w:val="20"/>
        </w:rPr>
        <w:t> </w:t>
      </w:r>
      <w:r w:rsidRPr="00ED62C0">
        <w:rPr>
          <w:rFonts w:eastAsia="Times New Roman" w:cs="Calibri"/>
          <w:bCs/>
          <w:sz w:val="20"/>
          <w:szCs w:val="20"/>
        </w:rPr>
        <w:t xml:space="preserve">d. nutartis </w:t>
      </w:r>
      <w:r w:rsidRPr="00ED62C0">
        <w:rPr>
          <w:rFonts w:eastAsia="Times New Roman" w:cs="Calibri"/>
          <w:sz w:val="20"/>
          <w:szCs w:val="20"/>
        </w:rPr>
        <w:t>civilinėje byloje Nr.</w:t>
      </w:r>
      <w:r w:rsidR="00244C6F" w:rsidRPr="00072590">
        <w:rPr>
          <w:rFonts w:ascii="Calibri" w:hAnsi="Calibri" w:cs="Calibri"/>
          <w:sz w:val="20"/>
          <w:szCs w:val="20"/>
        </w:rPr>
        <w:t> </w:t>
      </w:r>
      <w:r w:rsidRPr="00ED62C0">
        <w:rPr>
          <w:rFonts w:eastAsia="Times New Roman" w:cs="Calibri"/>
          <w:sz w:val="20"/>
          <w:szCs w:val="20"/>
        </w:rPr>
        <w:t>e2A-721-866/2024.</w:t>
      </w:r>
    </w:p>
  </w:footnote>
  <w:footnote w:id="19">
    <w:p w14:paraId="20DFBA25" w14:textId="423BC4AF" w:rsidR="0022254B" w:rsidRPr="00C31B82" w:rsidRDefault="0022254B" w:rsidP="0022254B">
      <w:pPr>
        <w:pStyle w:val="Puslapioinaostekstas"/>
        <w:jc w:val="both"/>
        <w:rPr>
          <w:rFonts w:cs="Calibri"/>
        </w:rPr>
      </w:pPr>
      <w:r w:rsidRPr="00ED62C0">
        <w:rPr>
          <w:rStyle w:val="Puslapioinaosnuoroda"/>
          <w:rFonts w:cs="Calibri"/>
        </w:rPr>
        <w:footnoteRef/>
      </w:r>
      <w:r w:rsidRPr="00ED62C0">
        <w:rPr>
          <w:rFonts w:cs="Calibri"/>
        </w:rPr>
        <w:t xml:space="preserve"> Vilniaus apygardos teismo 2024</w:t>
      </w:r>
      <w:r w:rsidR="00ED62C0" w:rsidRPr="00ED62C0">
        <w:rPr>
          <w:rFonts w:ascii="Calibri" w:hAnsi="Calibri" w:cs="Calibri"/>
        </w:rPr>
        <w:t> </w:t>
      </w:r>
      <w:r w:rsidRPr="00ED62C0">
        <w:rPr>
          <w:rFonts w:cs="Calibri"/>
        </w:rPr>
        <w:t>m. birželio 11</w:t>
      </w:r>
      <w:r w:rsidR="00ED62C0" w:rsidRPr="00ED62C0">
        <w:rPr>
          <w:rFonts w:ascii="Calibri" w:hAnsi="Calibri" w:cs="Calibri"/>
        </w:rPr>
        <w:t> </w:t>
      </w:r>
      <w:r w:rsidRPr="00ED62C0">
        <w:rPr>
          <w:rFonts w:cs="Calibri"/>
        </w:rPr>
        <w:t>d. nutartis civilinėje byloje Nr.</w:t>
      </w:r>
      <w:r w:rsidR="00244C6F" w:rsidRPr="00072590">
        <w:rPr>
          <w:rFonts w:ascii="Calibri" w:hAnsi="Calibri" w:cs="Calibri"/>
        </w:rPr>
        <w:t> </w:t>
      </w:r>
      <w:r w:rsidRPr="00ED62C0">
        <w:rPr>
          <w:rFonts w:cs="Calibri"/>
        </w:rPr>
        <w:t>e2A-1008-1187/2024.</w:t>
      </w:r>
    </w:p>
  </w:footnote>
  <w:footnote w:id="20">
    <w:p w14:paraId="554E1CBD" w14:textId="1BA23AC4" w:rsidR="005F1E77" w:rsidRPr="00072590" w:rsidRDefault="005F1E77" w:rsidP="0086225C">
      <w:pPr>
        <w:pStyle w:val="Puslapioinaostekstas"/>
        <w:jc w:val="both"/>
        <w:rPr>
          <w:rFonts w:ascii="Calibri" w:hAnsi="Calibri" w:cs="Calibri"/>
        </w:rPr>
      </w:pPr>
      <w:r w:rsidRPr="00072590">
        <w:rPr>
          <w:rStyle w:val="Puslapioinaosnuoroda"/>
          <w:rFonts w:ascii="Calibri" w:hAnsi="Calibri" w:cs="Calibri"/>
        </w:rPr>
        <w:footnoteRef/>
      </w:r>
      <w:r w:rsidRPr="00072590">
        <w:rPr>
          <w:rFonts w:ascii="Calibri" w:hAnsi="Calibri" w:cs="Calibri"/>
        </w:rPr>
        <w:t xml:space="preserve"> Lietuvos vyriausiojo administracinio teismo 2024</w:t>
      </w:r>
      <w:r w:rsidR="00E378BF" w:rsidRPr="00072590">
        <w:rPr>
          <w:rFonts w:ascii="Calibri" w:hAnsi="Calibri" w:cs="Calibri"/>
        </w:rPr>
        <w:t> </w:t>
      </w:r>
      <w:r w:rsidRPr="00072590">
        <w:rPr>
          <w:rFonts w:ascii="Calibri" w:hAnsi="Calibri" w:cs="Calibri"/>
        </w:rPr>
        <w:t>m. kovo 13</w:t>
      </w:r>
      <w:r w:rsidR="00E378BF" w:rsidRPr="00072590">
        <w:rPr>
          <w:rFonts w:ascii="Calibri" w:hAnsi="Calibri" w:cs="Calibri"/>
        </w:rPr>
        <w:t> </w:t>
      </w:r>
      <w:r w:rsidRPr="00072590">
        <w:rPr>
          <w:rFonts w:ascii="Calibri" w:hAnsi="Calibri" w:cs="Calibri"/>
        </w:rPr>
        <w:t>d. nutartis administracinėje byloje Nr.</w:t>
      </w:r>
      <w:r w:rsidR="00E378BF" w:rsidRPr="00072590">
        <w:rPr>
          <w:rFonts w:ascii="Calibri" w:hAnsi="Calibri" w:cs="Calibri"/>
        </w:rPr>
        <w:t> </w:t>
      </w:r>
      <w:r w:rsidRPr="00072590">
        <w:rPr>
          <w:rFonts w:ascii="Calibri" w:hAnsi="Calibri" w:cs="Calibri"/>
        </w:rPr>
        <w:t>eA-664-442/2024.</w:t>
      </w:r>
    </w:p>
  </w:footnote>
  <w:footnote w:id="21">
    <w:p w14:paraId="6A549038" w14:textId="1CDCCACF" w:rsidR="0038586F" w:rsidRPr="00072590" w:rsidRDefault="0038586F" w:rsidP="0038586F">
      <w:pPr>
        <w:spacing w:after="0"/>
        <w:jc w:val="both"/>
        <w:rPr>
          <w:rFonts w:ascii="Calibri" w:hAnsi="Calibri" w:cs="Calibri"/>
          <w:sz w:val="20"/>
          <w:szCs w:val="20"/>
        </w:rPr>
      </w:pPr>
      <w:r w:rsidRPr="00072590">
        <w:rPr>
          <w:rStyle w:val="Puslapioinaosnuoroda"/>
          <w:rFonts w:ascii="Calibri" w:hAnsi="Calibri" w:cs="Calibri"/>
          <w:sz w:val="20"/>
          <w:szCs w:val="20"/>
        </w:rPr>
        <w:footnoteRef/>
      </w:r>
      <w:r w:rsidRPr="00072590">
        <w:rPr>
          <w:rFonts w:ascii="Calibri" w:hAnsi="Calibri" w:cs="Calibri"/>
          <w:sz w:val="20"/>
          <w:szCs w:val="20"/>
        </w:rPr>
        <w:t xml:space="preserve"> Klaipėdos apygardos teismo 2023</w:t>
      </w:r>
      <w:r w:rsidR="00E378BF" w:rsidRPr="00072590">
        <w:rPr>
          <w:rFonts w:ascii="Calibri" w:hAnsi="Calibri" w:cs="Calibri"/>
          <w:sz w:val="20"/>
          <w:szCs w:val="20"/>
        </w:rPr>
        <w:t> </w:t>
      </w:r>
      <w:r w:rsidRPr="00072590">
        <w:rPr>
          <w:rFonts w:ascii="Calibri" w:hAnsi="Calibri" w:cs="Calibri"/>
          <w:sz w:val="20"/>
          <w:szCs w:val="20"/>
        </w:rPr>
        <w:t>m. lapkričio 30</w:t>
      </w:r>
      <w:r w:rsidR="00E378BF" w:rsidRPr="00072590">
        <w:rPr>
          <w:rFonts w:ascii="Calibri" w:hAnsi="Calibri" w:cs="Calibri"/>
          <w:sz w:val="20"/>
          <w:szCs w:val="20"/>
        </w:rPr>
        <w:t> </w:t>
      </w:r>
      <w:r w:rsidRPr="00072590">
        <w:rPr>
          <w:rFonts w:ascii="Calibri" w:hAnsi="Calibri" w:cs="Calibri"/>
          <w:sz w:val="20"/>
          <w:szCs w:val="20"/>
        </w:rPr>
        <w:t>d. nutartis civilinėje byloje Nr.</w:t>
      </w:r>
      <w:r w:rsidR="00E378BF" w:rsidRPr="00D71673">
        <w:rPr>
          <w:rFonts w:ascii="Aptos" w:hAnsi="Aptos" w:cs="Calibri"/>
          <w:sz w:val="20"/>
          <w:szCs w:val="20"/>
        </w:rPr>
        <w:t> </w:t>
      </w:r>
      <w:r w:rsidRPr="00072590">
        <w:rPr>
          <w:rFonts w:ascii="Calibri" w:hAnsi="Calibri" w:cs="Calibri"/>
          <w:sz w:val="20"/>
          <w:szCs w:val="20"/>
        </w:rPr>
        <w:t>e2A-1036-889/2023.</w:t>
      </w:r>
    </w:p>
  </w:footnote>
  <w:footnote w:id="22">
    <w:p w14:paraId="226E5C48" w14:textId="29DF6D21" w:rsidR="005F1E77" w:rsidRPr="00072590" w:rsidRDefault="005F1E77" w:rsidP="0086225C">
      <w:pPr>
        <w:spacing w:after="0"/>
        <w:jc w:val="both"/>
        <w:rPr>
          <w:rFonts w:ascii="Calibri" w:hAnsi="Calibri" w:cs="Calibri"/>
          <w:sz w:val="20"/>
          <w:szCs w:val="20"/>
        </w:rPr>
      </w:pPr>
      <w:r w:rsidRPr="00072590">
        <w:rPr>
          <w:rStyle w:val="Puslapioinaosnuoroda"/>
          <w:rFonts w:ascii="Calibri" w:hAnsi="Calibri" w:cs="Calibri"/>
          <w:sz w:val="20"/>
          <w:szCs w:val="20"/>
        </w:rPr>
        <w:footnoteRef/>
      </w:r>
      <w:r w:rsidRPr="00072590">
        <w:rPr>
          <w:rFonts w:ascii="Calibri" w:hAnsi="Calibri" w:cs="Calibri"/>
          <w:sz w:val="20"/>
          <w:szCs w:val="20"/>
        </w:rPr>
        <w:t xml:space="preserve"> Lietuvos vyriausiojo administracinio teismo 2024</w:t>
      </w:r>
      <w:r w:rsidR="00E378BF" w:rsidRPr="00072590">
        <w:rPr>
          <w:rFonts w:ascii="Calibri" w:hAnsi="Calibri" w:cs="Calibri"/>
          <w:sz w:val="20"/>
          <w:szCs w:val="20"/>
        </w:rPr>
        <w:t> </w:t>
      </w:r>
      <w:r w:rsidRPr="00072590">
        <w:rPr>
          <w:rFonts w:ascii="Calibri" w:hAnsi="Calibri" w:cs="Calibri"/>
          <w:sz w:val="20"/>
          <w:szCs w:val="20"/>
        </w:rPr>
        <w:t>m. balandžio 17</w:t>
      </w:r>
      <w:r w:rsidR="00E378BF" w:rsidRPr="00072590">
        <w:rPr>
          <w:rFonts w:ascii="Calibri" w:hAnsi="Calibri" w:cs="Calibri"/>
          <w:sz w:val="20"/>
          <w:szCs w:val="20"/>
        </w:rPr>
        <w:t> </w:t>
      </w:r>
      <w:r w:rsidRPr="00072590">
        <w:rPr>
          <w:rFonts w:ascii="Calibri" w:hAnsi="Calibri" w:cs="Calibri"/>
          <w:sz w:val="20"/>
          <w:szCs w:val="20"/>
        </w:rPr>
        <w:t>d. sprendimas administracinėje byloje Nr.</w:t>
      </w:r>
      <w:r w:rsidR="00E378BF" w:rsidRPr="00072590">
        <w:rPr>
          <w:rFonts w:ascii="Calibri" w:hAnsi="Calibri" w:cs="Calibri"/>
          <w:sz w:val="20"/>
          <w:szCs w:val="20"/>
        </w:rPr>
        <w:t> </w:t>
      </w:r>
      <w:r w:rsidRPr="00072590">
        <w:rPr>
          <w:rFonts w:ascii="Calibri" w:hAnsi="Calibri" w:cs="Calibri"/>
          <w:sz w:val="20"/>
          <w:szCs w:val="20"/>
        </w:rPr>
        <w:t>eA-94-575/2024.</w:t>
      </w:r>
    </w:p>
  </w:footnote>
  <w:footnote w:id="23">
    <w:p w14:paraId="562F6E4F" w14:textId="77777777" w:rsidR="005F1E77" w:rsidRPr="00072590" w:rsidRDefault="005F1E77" w:rsidP="0086225C">
      <w:pPr>
        <w:pStyle w:val="Puslapioinaostekstas"/>
        <w:jc w:val="both"/>
        <w:rPr>
          <w:rFonts w:ascii="Calibri" w:hAnsi="Calibri" w:cs="Calibri"/>
        </w:rPr>
      </w:pPr>
      <w:r w:rsidRPr="00072590">
        <w:rPr>
          <w:rStyle w:val="Puslapioinaosnuoroda"/>
          <w:rFonts w:ascii="Calibri" w:hAnsi="Calibri" w:cs="Calibri"/>
        </w:rPr>
        <w:footnoteRef/>
      </w:r>
      <w:r w:rsidRPr="00072590">
        <w:rPr>
          <w:rFonts w:ascii="Calibri" w:hAnsi="Calibri" w:cs="Calibri"/>
        </w:rPr>
        <w:t>Motorinių transporto priemonių, priekabų, sugadintų eismo ar kitokio įvykio metu, uždraudimo dalyvauti viešajame eisme ir draudimo panaikinimo tvarkos aprašas.</w:t>
      </w:r>
    </w:p>
  </w:footnote>
  <w:footnote w:id="24">
    <w:p w14:paraId="74A7BC0A" w14:textId="77777777" w:rsidR="005F1E77" w:rsidRPr="00072590" w:rsidRDefault="005F1E77" w:rsidP="0086225C">
      <w:pPr>
        <w:pStyle w:val="Puslapioinaostekstas"/>
        <w:jc w:val="both"/>
        <w:rPr>
          <w:rFonts w:ascii="Calibri" w:hAnsi="Calibri" w:cs="Calibri"/>
        </w:rPr>
      </w:pPr>
      <w:r w:rsidRPr="00072590">
        <w:rPr>
          <w:rStyle w:val="Puslapioinaosnuoroda"/>
          <w:rFonts w:ascii="Calibri" w:hAnsi="Calibri" w:cs="Calibri"/>
        </w:rPr>
        <w:footnoteRef/>
      </w:r>
      <w:r w:rsidRPr="00072590">
        <w:rPr>
          <w:rFonts w:ascii="Calibri" w:hAnsi="Calibri" w:cs="Calibri"/>
        </w:rPr>
        <w:t xml:space="preserve"> Viešojo administravimo įstatymas.</w:t>
      </w:r>
    </w:p>
  </w:footnote>
  <w:footnote w:id="25">
    <w:p w14:paraId="61E5C8B0" w14:textId="34E60962" w:rsidR="005F1E77" w:rsidRPr="0086225C" w:rsidRDefault="005F1E77" w:rsidP="0086225C">
      <w:pPr>
        <w:pStyle w:val="Puslapioinaostekstas"/>
        <w:jc w:val="both"/>
        <w:rPr>
          <w:rFonts w:ascii="Calibri" w:hAnsi="Calibri" w:cs="Calibri"/>
        </w:rPr>
      </w:pPr>
      <w:r w:rsidRPr="00072590">
        <w:rPr>
          <w:rStyle w:val="Puslapioinaosnuoroda"/>
          <w:rFonts w:ascii="Calibri" w:hAnsi="Calibri" w:cs="Calibri"/>
        </w:rPr>
        <w:footnoteRef/>
      </w:r>
      <w:r w:rsidRPr="00072590">
        <w:rPr>
          <w:rFonts w:ascii="Calibri" w:hAnsi="Calibri" w:cs="Calibri"/>
        </w:rPr>
        <w:t xml:space="preserve"> Lietuvos vyriausiojo administracinio teismo 2024</w:t>
      </w:r>
      <w:r w:rsidR="00E378BF" w:rsidRPr="00072590">
        <w:rPr>
          <w:rFonts w:ascii="Calibri" w:hAnsi="Calibri" w:cs="Calibri"/>
        </w:rPr>
        <w:t> </w:t>
      </w:r>
      <w:r w:rsidRPr="00072590">
        <w:rPr>
          <w:rFonts w:ascii="Calibri" w:hAnsi="Calibri" w:cs="Calibri"/>
        </w:rPr>
        <w:t>m. gegužės 21</w:t>
      </w:r>
      <w:r w:rsidR="00E378BF" w:rsidRPr="00072590">
        <w:rPr>
          <w:rFonts w:ascii="Calibri" w:hAnsi="Calibri" w:cs="Calibri"/>
        </w:rPr>
        <w:t> </w:t>
      </w:r>
      <w:r w:rsidRPr="00072590">
        <w:rPr>
          <w:rFonts w:ascii="Calibri" w:hAnsi="Calibri" w:cs="Calibri"/>
        </w:rPr>
        <w:t>d. nutartis administracinėje byloje Nr.</w:t>
      </w:r>
      <w:r w:rsidR="00E378BF" w:rsidRPr="00072590">
        <w:rPr>
          <w:rFonts w:ascii="Calibri" w:hAnsi="Calibri" w:cs="Calibri"/>
        </w:rPr>
        <w:t> </w:t>
      </w:r>
      <w:r w:rsidRPr="00072590">
        <w:rPr>
          <w:rFonts w:ascii="Calibri" w:hAnsi="Calibri" w:cs="Calibri"/>
        </w:rPr>
        <w:t>eA-687-968/2024.</w:t>
      </w:r>
    </w:p>
  </w:footnote>
  <w:footnote w:id="26">
    <w:p w14:paraId="77FE3BE8" w14:textId="7B223960" w:rsidR="005F1E77" w:rsidRPr="0086225C" w:rsidRDefault="005F1E77" w:rsidP="0086225C">
      <w:pPr>
        <w:pStyle w:val="Puslapioinaostekstas"/>
        <w:jc w:val="both"/>
        <w:rPr>
          <w:rFonts w:ascii="Calibri" w:hAnsi="Calibri" w:cs="Calibri"/>
        </w:rPr>
      </w:pPr>
      <w:r w:rsidRPr="0086225C">
        <w:rPr>
          <w:rStyle w:val="Puslapioinaosnuoroda"/>
          <w:rFonts w:ascii="Calibri" w:hAnsi="Calibri" w:cs="Calibri"/>
        </w:rPr>
        <w:footnoteRef/>
      </w:r>
      <w:r w:rsidRPr="0086225C">
        <w:rPr>
          <w:rFonts w:ascii="Calibri" w:hAnsi="Calibri" w:cs="Calibri"/>
        </w:rPr>
        <w:t xml:space="preserve"> Lietuvos vyriausiojo administracinio teismo 2024</w:t>
      </w:r>
      <w:r w:rsidR="0011701C" w:rsidRPr="00072590">
        <w:rPr>
          <w:rFonts w:ascii="Calibri" w:hAnsi="Calibri" w:cs="Calibri"/>
        </w:rPr>
        <w:t> </w:t>
      </w:r>
      <w:r w:rsidRPr="0086225C">
        <w:rPr>
          <w:rFonts w:ascii="Calibri" w:hAnsi="Calibri" w:cs="Calibri"/>
        </w:rPr>
        <w:t>m. gegužės 15</w:t>
      </w:r>
      <w:r w:rsidR="0011701C" w:rsidRPr="00072590">
        <w:rPr>
          <w:rFonts w:ascii="Calibri" w:hAnsi="Calibri" w:cs="Calibri"/>
        </w:rPr>
        <w:t> </w:t>
      </w:r>
      <w:r w:rsidRPr="0086225C">
        <w:rPr>
          <w:rFonts w:ascii="Calibri" w:hAnsi="Calibri" w:cs="Calibri"/>
        </w:rPr>
        <w:t>d. nutartis administracinėje byloje Nr.</w:t>
      </w:r>
      <w:r w:rsidR="0011701C" w:rsidRPr="00072590">
        <w:rPr>
          <w:rFonts w:ascii="Calibri" w:hAnsi="Calibri" w:cs="Calibri"/>
        </w:rPr>
        <w:t> </w:t>
      </w:r>
      <w:r w:rsidRPr="0086225C">
        <w:rPr>
          <w:rFonts w:ascii="Calibri" w:hAnsi="Calibri" w:cs="Calibri"/>
        </w:rPr>
        <w:t>eA-822-1188/2024.</w:t>
      </w:r>
    </w:p>
  </w:footnote>
  <w:footnote w:id="27">
    <w:p w14:paraId="514C8897" w14:textId="16A456B0" w:rsidR="005F1E77" w:rsidRPr="00786EF9" w:rsidRDefault="005F1E77" w:rsidP="0086225C">
      <w:pPr>
        <w:pStyle w:val="Puslapioinaostekstas"/>
        <w:jc w:val="both"/>
        <w:rPr>
          <w:rFonts w:ascii="Calibri" w:hAnsi="Calibri" w:cs="Calibri"/>
        </w:rPr>
      </w:pPr>
      <w:r w:rsidRPr="00786EF9">
        <w:rPr>
          <w:rStyle w:val="Puslapioinaosnuoroda"/>
          <w:rFonts w:ascii="Calibri" w:hAnsi="Calibri" w:cs="Calibri"/>
        </w:rPr>
        <w:footnoteRef/>
      </w:r>
      <w:r w:rsidRPr="00786EF9">
        <w:rPr>
          <w:rFonts w:ascii="Calibri" w:hAnsi="Calibri" w:cs="Calibri"/>
        </w:rPr>
        <w:t xml:space="preserve"> Vilniaus rūmų (Regionų administracinis teismas) 2024</w:t>
      </w:r>
      <w:r w:rsidR="0011701C" w:rsidRPr="00072590">
        <w:rPr>
          <w:rFonts w:ascii="Calibri" w:hAnsi="Calibri" w:cs="Calibri"/>
        </w:rPr>
        <w:t> </w:t>
      </w:r>
      <w:r w:rsidRPr="00786EF9">
        <w:rPr>
          <w:rFonts w:ascii="Calibri" w:hAnsi="Calibri" w:cs="Calibri"/>
        </w:rPr>
        <w:t>m. gegužės 2</w:t>
      </w:r>
      <w:r w:rsidR="0011701C" w:rsidRPr="00072590">
        <w:rPr>
          <w:rFonts w:ascii="Calibri" w:hAnsi="Calibri" w:cs="Calibri"/>
        </w:rPr>
        <w:t> </w:t>
      </w:r>
      <w:r w:rsidRPr="00786EF9">
        <w:rPr>
          <w:rFonts w:ascii="Calibri" w:hAnsi="Calibri" w:cs="Calibri"/>
        </w:rPr>
        <w:t>d. sprendimas administracinėje byloje Nr.</w:t>
      </w:r>
      <w:r w:rsidR="0011701C" w:rsidRPr="00072590">
        <w:rPr>
          <w:rFonts w:ascii="Calibri" w:hAnsi="Calibri" w:cs="Calibri"/>
        </w:rPr>
        <w:t> </w:t>
      </w:r>
      <w:r w:rsidRPr="00786EF9">
        <w:rPr>
          <w:rFonts w:ascii="Calibri" w:hAnsi="Calibri" w:cs="Calibri"/>
        </w:rPr>
        <w:t>eI2-2637-1066/2024.</w:t>
      </w:r>
    </w:p>
  </w:footnote>
  <w:footnote w:id="28">
    <w:p w14:paraId="56DF0644" w14:textId="4B08674B" w:rsidR="00A942B9" w:rsidRPr="00786EF9" w:rsidRDefault="00A942B9" w:rsidP="00A942B9">
      <w:pPr>
        <w:pStyle w:val="Puslapioinaostekstas"/>
        <w:jc w:val="both"/>
        <w:rPr>
          <w:rFonts w:ascii="Calibri" w:hAnsi="Calibri" w:cs="Calibri"/>
        </w:rPr>
      </w:pPr>
      <w:r w:rsidRPr="00786EF9">
        <w:rPr>
          <w:rStyle w:val="Puslapioinaosnuoroda"/>
          <w:rFonts w:ascii="Calibri" w:hAnsi="Calibri" w:cs="Calibri"/>
        </w:rPr>
        <w:footnoteRef/>
      </w:r>
      <w:r w:rsidRPr="00786EF9">
        <w:rPr>
          <w:rFonts w:ascii="Calibri" w:hAnsi="Calibri" w:cs="Calibri"/>
        </w:rPr>
        <w:t xml:space="preserve"> Lietuvos vyriausiojo administracinio teismo 2024</w:t>
      </w:r>
      <w:r w:rsidR="0011701C" w:rsidRPr="00072590">
        <w:rPr>
          <w:rFonts w:ascii="Calibri" w:hAnsi="Calibri" w:cs="Calibri"/>
        </w:rPr>
        <w:t> </w:t>
      </w:r>
      <w:r w:rsidRPr="00786EF9">
        <w:rPr>
          <w:rFonts w:ascii="Calibri" w:hAnsi="Calibri" w:cs="Calibri"/>
        </w:rPr>
        <w:t>m. kovo 20</w:t>
      </w:r>
      <w:r w:rsidR="0011701C" w:rsidRPr="00072590">
        <w:rPr>
          <w:rFonts w:ascii="Calibri" w:hAnsi="Calibri" w:cs="Calibri"/>
        </w:rPr>
        <w:t> </w:t>
      </w:r>
      <w:r w:rsidRPr="00786EF9">
        <w:rPr>
          <w:rFonts w:ascii="Calibri" w:hAnsi="Calibri" w:cs="Calibri"/>
        </w:rPr>
        <w:t>d. nutartis administracinėje byloje Nr.</w:t>
      </w:r>
      <w:r w:rsidR="0011701C" w:rsidRPr="00072590">
        <w:rPr>
          <w:rFonts w:ascii="Calibri" w:hAnsi="Calibri" w:cs="Calibri"/>
        </w:rPr>
        <w:t> </w:t>
      </w:r>
      <w:r w:rsidRPr="00786EF9">
        <w:rPr>
          <w:rFonts w:ascii="Calibri" w:hAnsi="Calibri" w:cs="Calibri"/>
        </w:rPr>
        <w:t>eA-708-624/2024.</w:t>
      </w:r>
    </w:p>
  </w:footnote>
  <w:footnote w:id="29">
    <w:p w14:paraId="27E06E2D" w14:textId="43E76608" w:rsidR="00C57E85" w:rsidRPr="00C31B82" w:rsidRDefault="00C57E85" w:rsidP="00C57E85">
      <w:pPr>
        <w:pStyle w:val="Puslapioinaostekstas"/>
        <w:jc w:val="both"/>
        <w:rPr>
          <w:rFonts w:cs="Calibri"/>
        </w:rPr>
      </w:pPr>
      <w:r w:rsidRPr="00786EF9">
        <w:rPr>
          <w:rStyle w:val="Puslapioinaosnuoroda"/>
          <w:rFonts w:ascii="Calibri" w:hAnsi="Calibri" w:cs="Calibri"/>
        </w:rPr>
        <w:footnoteRef/>
      </w:r>
      <w:r w:rsidRPr="00786EF9">
        <w:rPr>
          <w:rFonts w:ascii="Calibri" w:hAnsi="Calibri" w:cs="Calibri"/>
        </w:rPr>
        <w:t xml:space="preserve"> Vilniaus rūmų (Regionų administracinis teismas) 2024</w:t>
      </w:r>
      <w:r w:rsidR="0011701C" w:rsidRPr="00072590">
        <w:rPr>
          <w:rFonts w:ascii="Calibri" w:hAnsi="Calibri" w:cs="Calibri"/>
        </w:rPr>
        <w:t> </w:t>
      </w:r>
      <w:r w:rsidRPr="00786EF9">
        <w:rPr>
          <w:rFonts w:ascii="Calibri" w:hAnsi="Calibri" w:cs="Calibri"/>
        </w:rPr>
        <w:t>m. vasario 8</w:t>
      </w:r>
      <w:r w:rsidR="0011701C" w:rsidRPr="00072590">
        <w:rPr>
          <w:rFonts w:ascii="Calibri" w:hAnsi="Calibri" w:cs="Calibri"/>
        </w:rPr>
        <w:t> </w:t>
      </w:r>
      <w:r w:rsidRPr="00786EF9">
        <w:rPr>
          <w:rFonts w:ascii="Calibri" w:hAnsi="Calibri" w:cs="Calibri"/>
        </w:rPr>
        <w:t>d. sprendimas Nr.</w:t>
      </w:r>
      <w:r w:rsidR="0011701C" w:rsidRPr="00072590">
        <w:rPr>
          <w:rFonts w:ascii="Calibri" w:hAnsi="Calibri" w:cs="Calibri"/>
        </w:rPr>
        <w:t> </w:t>
      </w:r>
      <w:r w:rsidRPr="00786EF9">
        <w:rPr>
          <w:rFonts w:ascii="Calibri" w:hAnsi="Calibri" w:cs="Calibri"/>
        </w:rPr>
        <w:t>eI2-4288-473/2024.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F19"/>
    <w:multiLevelType w:val="hybridMultilevel"/>
    <w:tmpl w:val="A682651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FB01DD"/>
    <w:multiLevelType w:val="multilevel"/>
    <w:tmpl w:val="469E8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620242"/>
    <w:multiLevelType w:val="hybridMultilevel"/>
    <w:tmpl w:val="8422A8A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F408ED"/>
    <w:multiLevelType w:val="hybridMultilevel"/>
    <w:tmpl w:val="290027AA"/>
    <w:lvl w:ilvl="0" w:tplc="0427000B">
      <w:start w:val="1"/>
      <w:numFmt w:val="bullet"/>
      <w:lvlText w:val=""/>
      <w:lvlJc w:val="left"/>
      <w:pPr>
        <w:ind w:left="60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6875A3"/>
    <w:multiLevelType w:val="multilevel"/>
    <w:tmpl w:val="BF70BCB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562661"/>
    <w:multiLevelType w:val="hybridMultilevel"/>
    <w:tmpl w:val="3E80092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7947846">
    <w:abstractNumId w:val="3"/>
  </w:num>
  <w:num w:numId="2" w16cid:durableId="470296573">
    <w:abstractNumId w:val="2"/>
  </w:num>
  <w:num w:numId="3" w16cid:durableId="1113208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285432">
    <w:abstractNumId w:val="0"/>
  </w:num>
  <w:num w:numId="5" w16cid:durableId="1114516418">
    <w:abstractNumId w:val="5"/>
  </w:num>
  <w:num w:numId="6" w16cid:durableId="761952984">
    <w:abstractNumId w:val="1"/>
  </w:num>
  <w:num w:numId="7" w16cid:durableId="863203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D2"/>
    <w:rsid w:val="0000000A"/>
    <w:rsid w:val="00001A2F"/>
    <w:rsid w:val="000031E5"/>
    <w:rsid w:val="000034FC"/>
    <w:rsid w:val="000039E7"/>
    <w:rsid w:val="00005458"/>
    <w:rsid w:val="0000598B"/>
    <w:rsid w:val="00006430"/>
    <w:rsid w:val="000070D4"/>
    <w:rsid w:val="00011A22"/>
    <w:rsid w:val="00011FC1"/>
    <w:rsid w:val="00011FF2"/>
    <w:rsid w:val="00012599"/>
    <w:rsid w:val="00012C15"/>
    <w:rsid w:val="00014250"/>
    <w:rsid w:val="00014BA7"/>
    <w:rsid w:val="00016905"/>
    <w:rsid w:val="000169B2"/>
    <w:rsid w:val="00017BD5"/>
    <w:rsid w:val="00021BA0"/>
    <w:rsid w:val="000220E6"/>
    <w:rsid w:val="00022167"/>
    <w:rsid w:val="00023CE6"/>
    <w:rsid w:val="000252C3"/>
    <w:rsid w:val="00026278"/>
    <w:rsid w:val="00026D95"/>
    <w:rsid w:val="00027004"/>
    <w:rsid w:val="000307C1"/>
    <w:rsid w:val="0003101D"/>
    <w:rsid w:val="00033304"/>
    <w:rsid w:val="00033FA3"/>
    <w:rsid w:val="00034AAD"/>
    <w:rsid w:val="0003530F"/>
    <w:rsid w:val="000353AB"/>
    <w:rsid w:val="00035A9E"/>
    <w:rsid w:val="00035DCA"/>
    <w:rsid w:val="00035EAF"/>
    <w:rsid w:val="000363CB"/>
    <w:rsid w:val="00036B30"/>
    <w:rsid w:val="00040F47"/>
    <w:rsid w:val="00042761"/>
    <w:rsid w:val="00043924"/>
    <w:rsid w:val="00045AFA"/>
    <w:rsid w:val="00047CDB"/>
    <w:rsid w:val="00052773"/>
    <w:rsid w:val="00053540"/>
    <w:rsid w:val="000563C5"/>
    <w:rsid w:val="000577BE"/>
    <w:rsid w:val="00057BA3"/>
    <w:rsid w:val="000615AA"/>
    <w:rsid w:val="0006161F"/>
    <w:rsid w:val="000620EF"/>
    <w:rsid w:val="000624B7"/>
    <w:rsid w:val="00062B6A"/>
    <w:rsid w:val="0006445B"/>
    <w:rsid w:val="0006538E"/>
    <w:rsid w:val="00070A2C"/>
    <w:rsid w:val="00070B84"/>
    <w:rsid w:val="00070FB8"/>
    <w:rsid w:val="0007116A"/>
    <w:rsid w:val="000720EE"/>
    <w:rsid w:val="00072590"/>
    <w:rsid w:val="00072A63"/>
    <w:rsid w:val="00073926"/>
    <w:rsid w:val="00073B1F"/>
    <w:rsid w:val="00075A3B"/>
    <w:rsid w:val="00076390"/>
    <w:rsid w:val="0007680D"/>
    <w:rsid w:val="00077011"/>
    <w:rsid w:val="000770F4"/>
    <w:rsid w:val="00077DFF"/>
    <w:rsid w:val="00080392"/>
    <w:rsid w:val="00080550"/>
    <w:rsid w:val="00080CB1"/>
    <w:rsid w:val="0008117F"/>
    <w:rsid w:val="00082256"/>
    <w:rsid w:val="000826B0"/>
    <w:rsid w:val="000835E1"/>
    <w:rsid w:val="00083F8A"/>
    <w:rsid w:val="00085FB7"/>
    <w:rsid w:val="00086CC8"/>
    <w:rsid w:val="00092367"/>
    <w:rsid w:val="00092DB4"/>
    <w:rsid w:val="000959CC"/>
    <w:rsid w:val="00096D7A"/>
    <w:rsid w:val="00097065"/>
    <w:rsid w:val="00097F5C"/>
    <w:rsid w:val="000A047F"/>
    <w:rsid w:val="000A1182"/>
    <w:rsid w:val="000A13AE"/>
    <w:rsid w:val="000A3157"/>
    <w:rsid w:val="000A4802"/>
    <w:rsid w:val="000A5800"/>
    <w:rsid w:val="000A5D75"/>
    <w:rsid w:val="000A63BA"/>
    <w:rsid w:val="000A7018"/>
    <w:rsid w:val="000B0160"/>
    <w:rsid w:val="000B0587"/>
    <w:rsid w:val="000B3EE1"/>
    <w:rsid w:val="000B5BEA"/>
    <w:rsid w:val="000B6F49"/>
    <w:rsid w:val="000B75FB"/>
    <w:rsid w:val="000C0912"/>
    <w:rsid w:val="000C0BC1"/>
    <w:rsid w:val="000C17AE"/>
    <w:rsid w:val="000C1D79"/>
    <w:rsid w:val="000C1DD3"/>
    <w:rsid w:val="000C20FF"/>
    <w:rsid w:val="000C24CE"/>
    <w:rsid w:val="000C3366"/>
    <w:rsid w:val="000C35EC"/>
    <w:rsid w:val="000C363B"/>
    <w:rsid w:val="000C4715"/>
    <w:rsid w:val="000C4CBC"/>
    <w:rsid w:val="000C4E75"/>
    <w:rsid w:val="000C59F4"/>
    <w:rsid w:val="000C6974"/>
    <w:rsid w:val="000C7309"/>
    <w:rsid w:val="000D0416"/>
    <w:rsid w:val="000D0484"/>
    <w:rsid w:val="000D2C20"/>
    <w:rsid w:val="000D3D8E"/>
    <w:rsid w:val="000D3FDA"/>
    <w:rsid w:val="000D44E3"/>
    <w:rsid w:val="000D4FE5"/>
    <w:rsid w:val="000D5CC1"/>
    <w:rsid w:val="000D6229"/>
    <w:rsid w:val="000D6695"/>
    <w:rsid w:val="000D6765"/>
    <w:rsid w:val="000D710B"/>
    <w:rsid w:val="000D7184"/>
    <w:rsid w:val="000D74FE"/>
    <w:rsid w:val="000D76EB"/>
    <w:rsid w:val="000E00F0"/>
    <w:rsid w:val="000E0342"/>
    <w:rsid w:val="000E07C0"/>
    <w:rsid w:val="000E1067"/>
    <w:rsid w:val="000E3A5E"/>
    <w:rsid w:val="000E53FC"/>
    <w:rsid w:val="000E61F8"/>
    <w:rsid w:val="000E77F0"/>
    <w:rsid w:val="000F06AA"/>
    <w:rsid w:val="000F115F"/>
    <w:rsid w:val="000F1721"/>
    <w:rsid w:val="000F211A"/>
    <w:rsid w:val="000F5781"/>
    <w:rsid w:val="000F5936"/>
    <w:rsid w:val="000F5F1B"/>
    <w:rsid w:val="000F65FD"/>
    <w:rsid w:val="000F6AD0"/>
    <w:rsid w:val="000F6D93"/>
    <w:rsid w:val="00102317"/>
    <w:rsid w:val="00102B14"/>
    <w:rsid w:val="00102B79"/>
    <w:rsid w:val="00103C5E"/>
    <w:rsid w:val="001053E6"/>
    <w:rsid w:val="00106871"/>
    <w:rsid w:val="00107873"/>
    <w:rsid w:val="001078E1"/>
    <w:rsid w:val="0011021F"/>
    <w:rsid w:val="001126C4"/>
    <w:rsid w:val="00113B9B"/>
    <w:rsid w:val="0011524B"/>
    <w:rsid w:val="00116531"/>
    <w:rsid w:val="00116C1D"/>
    <w:rsid w:val="00116D18"/>
    <w:rsid w:val="0011701C"/>
    <w:rsid w:val="0012250F"/>
    <w:rsid w:val="00122972"/>
    <w:rsid w:val="001230D5"/>
    <w:rsid w:val="00123DD8"/>
    <w:rsid w:val="00124D68"/>
    <w:rsid w:val="00125567"/>
    <w:rsid w:val="00131E7A"/>
    <w:rsid w:val="00133F0C"/>
    <w:rsid w:val="001340B5"/>
    <w:rsid w:val="001344CA"/>
    <w:rsid w:val="00135215"/>
    <w:rsid w:val="0013590F"/>
    <w:rsid w:val="001361AF"/>
    <w:rsid w:val="00137046"/>
    <w:rsid w:val="0013781A"/>
    <w:rsid w:val="001413E9"/>
    <w:rsid w:val="001416D3"/>
    <w:rsid w:val="00141C7E"/>
    <w:rsid w:val="00142E0C"/>
    <w:rsid w:val="0014419C"/>
    <w:rsid w:val="00145081"/>
    <w:rsid w:val="001465AC"/>
    <w:rsid w:val="00146EDF"/>
    <w:rsid w:val="001500AC"/>
    <w:rsid w:val="0015107C"/>
    <w:rsid w:val="001513EC"/>
    <w:rsid w:val="00151FEA"/>
    <w:rsid w:val="0015348F"/>
    <w:rsid w:val="00153C0B"/>
    <w:rsid w:val="00154629"/>
    <w:rsid w:val="0015579B"/>
    <w:rsid w:val="0015723F"/>
    <w:rsid w:val="00157638"/>
    <w:rsid w:val="0016151C"/>
    <w:rsid w:val="00162732"/>
    <w:rsid w:val="00163C10"/>
    <w:rsid w:val="001641F4"/>
    <w:rsid w:val="00165E51"/>
    <w:rsid w:val="0016725C"/>
    <w:rsid w:val="001672A2"/>
    <w:rsid w:val="001702B6"/>
    <w:rsid w:val="0017105D"/>
    <w:rsid w:val="00171506"/>
    <w:rsid w:val="00173B55"/>
    <w:rsid w:val="001751ED"/>
    <w:rsid w:val="00175219"/>
    <w:rsid w:val="00175BAD"/>
    <w:rsid w:val="001767A5"/>
    <w:rsid w:val="00176C4E"/>
    <w:rsid w:val="001770EE"/>
    <w:rsid w:val="00177463"/>
    <w:rsid w:val="00182A37"/>
    <w:rsid w:val="00183B3B"/>
    <w:rsid w:val="00183C7B"/>
    <w:rsid w:val="0018575E"/>
    <w:rsid w:val="00185C07"/>
    <w:rsid w:val="00186396"/>
    <w:rsid w:val="0018654A"/>
    <w:rsid w:val="0019194B"/>
    <w:rsid w:val="00192009"/>
    <w:rsid w:val="001929A0"/>
    <w:rsid w:val="00193D20"/>
    <w:rsid w:val="0019506B"/>
    <w:rsid w:val="00196AF9"/>
    <w:rsid w:val="001A08D3"/>
    <w:rsid w:val="001A0F26"/>
    <w:rsid w:val="001A1E2B"/>
    <w:rsid w:val="001A3389"/>
    <w:rsid w:val="001A4CB5"/>
    <w:rsid w:val="001A7BD1"/>
    <w:rsid w:val="001B0C5B"/>
    <w:rsid w:val="001B181C"/>
    <w:rsid w:val="001B2F6B"/>
    <w:rsid w:val="001B3ACB"/>
    <w:rsid w:val="001B3CE3"/>
    <w:rsid w:val="001B458E"/>
    <w:rsid w:val="001B6211"/>
    <w:rsid w:val="001C0300"/>
    <w:rsid w:val="001C1A28"/>
    <w:rsid w:val="001C2E68"/>
    <w:rsid w:val="001C3247"/>
    <w:rsid w:val="001C3286"/>
    <w:rsid w:val="001C58D9"/>
    <w:rsid w:val="001C6120"/>
    <w:rsid w:val="001C79DC"/>
    <w:rsid w:val="001D3ED7"/>
    <w:rsid w:val="001D46BA"/>
    <w:rsid w:val="001D5902"/>
    <w:rsid w:val="001D5F82"/>
    <w:rsid w:val="001E1072"/>
    <w:rsid w:val="001E35F9"/>
    <w:rsid w:val="001E36E7"/>
    <w:rsid w:val="001E5364"/>
    <w:rsid w:val="001E5981"/>
    <w:rsid w:val="001E6FCE"/>
    <w:rsid w:val="001E7196"/>
    <w:rsid w:val="001F10EF"/>
    <w:rsid w:val="001F33CE"/>
    <w:rsid w:val="001F4314"/>
    <w:rsid w:val="001F55BF"/>
    <w:rsid w:val="001F5941"/>
    <w:rsid w:val="001F5DF2"/>
    <w:rsid w:val="001F7BDE"/>
    <w:rsid w:val="00200B7F"/>
    <w:rsid w:val="002042B2"/>
    <w:rsid w:val="00205002"/>
    <w:rsid w:val="002060E0"/>
    <w:rsid w:val="00207131"/>
    <w:rsid w:val="002071D9"/>
    <w:rsid w:val="002100BF"/>
    <w:rsid w:val="00210E75"/>
    <w:rsid w:val="00212C10"/>
    <w:rsid w:val="00215C6D"/>
    <w:rsid w:val="00217D20"/>
    <w:rsid w:val="0022000D"/>
    <w:rsid w:val="0022254B"/>
    <w:rsid w:val="002233BF"/>
    <w:rsid w:val="002237BD"/>
    <w:rsid w:val="00224965"/>
    <w:rsid w:val="00226D97"/>
    <w:rsid w:val="00226E1D"/>
    <w:rsid w:val="002302EE"/>
    <w:rsid w:val="00230D03"/>
    <w:rsid w:val="0023115A"/>
    <w:rsid w:val="00231B5B"/>
    <w:rsid w:val="002326E7"/>
    <w:rsid w:val="00232EDB"/>
    <w:rsid w:val="00233186"/>
    <w:rsid w:val="0023378F"/>
    <w:rsid w:val="00235A73"/>
    <w:rsid w:val="002368C3"/>
    <w:rsid w:val="00236EB8"/>
    <w:rsid w:val="00237A70"/>
    <w:rsid w:val="00237DE6"/>
    <w:rsid w:val="00240586"/>
    <w:rsid w:val="002407B1"/>
    <w:rsid w:val="00241397"/>
    <w:rsid w:val="00241581"/>
    <w:rsid w:val="00241EFF"/>
    <w:rsid w:val="00242EF6"/>
    <w:rsid w:val="00244597"/>
    <w:rsid w:val="00244C6F"/>
    <w:rsid w:val="002458A7"/>
    <w:rsid w:val="00245CD1"/>
    <w:rsid w:val="002461EB"/>
    <w:rsid w:val="00246906"/>
    <w:rsid w:val="00246963"/>
    <w:rsid w:val="00246EC4"/>
    <w:rsid w:val="00247411"/>
    <w:rsid w:val="002477B2"/>
    <w:rsid w:val="00250AA5"/>
    <w:rsid w:val="00253C5D"/>
    <w:rsid w:val="00254476"/>
    <w:rsid w:val="0025449E"/>
    <w:rsid w:val="00254CD0"/>
    <w:rsid w:val="002551A1"/>
    <w:rsid w:val="002557BF"/>
    <w:rsid w:val="0025584D"/>
    <w:rsid w:val="00256C13"/>
    <w:rsid w:val="00256DB3"/>
    <w:rsid w:val="0025722C"/>
    <w:rsid w:val="00257878"/>
    <w:rsid w:val="00262F21"/>
    <w:rsid w:val="002651CE"/>
    <w:rsid w:val="002652EC"/>
    <w:rsid w:val="00266145"/>
    <w:rsid w:val="00266602"/>
    <w:rsid w:val="00267729"/>
    <w:rsid w:val="002700F9"/>
    <w:rsid w:val="002710F6"/>
    <w:rsid w:val="00272128"/>
    <w:rsid w:val="0027395F"/>
    <w:rsid w:val="00274499"/>
    <w:rsid w:val="00274BA3"/>
    <w:rsid w:val="00274CD2"/>
    <w:rsid w:val="002763D4"/>
    <w:rsid w:val="00277677"/>
    <w:rsid w:val="0028175C"/>
    <w:rsid w:val="00281942"/>
    <w:rsid w:val="002836E9"/>
    <w:rsid w:val="00283FAE"/>
    <w:rsid w:val="002862BA"/>
    <w:rsid w:val="00286617"/>
    <w:rsid w:val="00286D23"/>
    <w:rsid w:val="0028752C"/>
    <w:rsid w:val="00287B27"/>
    <w:rsid w:val="00290FA0"/>
    <w:rsid w:val="0029249F"/>
    <w:rsid w:val="00293699"/>
    <w:rsid w:val="00293A84"/>
    <w:rsid w:val="002944BB"/>
    <w:rsid w:val="0029458A"/>
    <w:rsid w:val="002946F5"/>
    <w:rsid w:val="00294EE6"/>
    <w:rsid w:val="00295259"/>
    <w:rsid w:val="00296C9C"/>
    <w:rsid w:val="002A0320"/>
    <w:rsid w:val="002A0928"/>
    <w:rsid w:val="002A0985"/>
    <w:rsid w:val="002A0A23"/>
    <w:rsid w:val="002A1034"/>
    <w:rsid w:val="002A131B"/>
    <w:rsid w:val="002A5A76"/>
    <w:rsid w:val="002A6638"/>
    <w:rsid w:val="002B2AA0"/>
    <w:rsid w:val="002B5FAA"/>
    <w:rsid w:val="002B62BB"/>
    <w:rsid w:val="002B6827"/>
    <w:rsid w:val="002B7FAD"/>
    <w:rsid w:val="002C004D"/>
    <w:rsid w:val="002C035E"/>
    <w:rsid w:val="002C06F9"/>
    <w:rsid w:val="002C3CFD"/>
    <w:rsid w:val="002C56AF"/>
    <w:rsid w:val="002C59F9"/>
    <w:rsid w:val="002C5A82"/>
    <w:rsid w:val="002C5AE3"/>
    <w:rsid w:val="002C76ED"/>
    <w:rsid w:val="002C786C"/>
    <w:rsid w:val="002D04B2"/>
    <w:rsid w:val="002D0EAC"/>
    <w:rsid w:val="002D1DB0"/>
    <w:rsid w:val="002D3FAE"/>
    <w:rsid w:val="002D6CDC"/>
    <w:rsid w:val="002D6EF8"/>
    <w:rsid w:val="002E0542"/>
    <w:rsid w:val="002E268C"/>
    <w:rsid w:val="002E2DEE"/>
    <w:rsid w:val="002E4234"/>
    <w:rsid w:val="002E4513"/>
    <w:rsid w:val="002E4ED6"/>
    <w:rsid w:val="002E641C"/>
    <w:rsid w:val="002E7A17"/>
    <w:rsid w:val="002E7D21"/>
    <w:rsid w:val="002F03DF"/>
    <w:rsid w:val="002F07C6"/>
    <w:rsid w:val="002F09BE"/>
    <w:rsid w:val="002F484B"/>
    <w:rsid w:val="002F50A8"/>
    <w:rsid w:val="002F5CFF"/>
    <w:rsid w:val="002F6108"/>
    <w:rsid w:val="002F615E"/>
    <w:rsid w:val="002F62CA"/>
    <w:rsid w:val="002F6C98"/>
    <w:rsid w:val="00300D01"/>
    <w:rsid w:val="00302650"/>
    <w:rsid w:val="00302ECA"/>
    <w:rsid w:val="00304192"/>
    <w:rsid w:val="00306B1B"/>
    <w:rsid w:val="00306B4C"/>
    <w:rsid w:val="00307A05"/>
    <w:rsid w:val="0031003A"/>
    <w:rsid w:val="00311D1D"/>
    <w:rsid w:val="00311E4B"/>
    <w:rsid w:val="00313C9C"/>
    <w:rsid w:val="00313DE9"/>
    <w:rsid w:val="0031406D"/>
    <w:rsid w:val="0031432A"/>
    <w:rsid w:val="00314B4C"/>
    <w:rsid w:val="00314B51"/>
    <w:rsid w:val="003154D2"/>
    <w:rsid w:val="00316DC4"/>
    <w:rsid w:val="00316E18"/>
    <w:rsid w:val="003173CF"/>
    <w:rsid w:val="003177F9"/>
    <w:rsid w:val="00317D11"/>
    <w:rsid w:val="0032076F"/>
    <w:rsid w:val="003212FE"/>
    <w:rsid w:val="00323D33"/>
    <w:rsid w:val="003254FB"/>
    <w:rsid w:val="0032551E"/>
    <w:rsid w:val="00326507"/>
    <w:rsid w:val="00330181"/>
    <w:rsid w:val="003303D0"/>
    <w:rsid w:val="00330D33"/>
    <w:rsid w:val="00330FAF"/>
    <w:rsid w:val="00333BC4"/>
    <w:rsid w:val="003342E5"/>
    <w:rsid w:val="00334558"/>
    <w:rsid w:val="0033574B"/>
    <w:rsid w:val="0033704A"/>
    <w:rsid w:val="00337B0C"/>
    <w:rsid w:val="003423FC"/>
    <w:rsid w:val="003424B3"/>
    <w:rsid w:val="00342F4D"/>
    <w:rsid w:val="003457EA"/>
    <w:rsid w:val="003465A2"/>
    <w:rsid w:val="0034714E"/>
    <w:rsid w:val="003511FA"/>
    <w:rsid w:val="0035127D"/>
    <w:rsid w:val="0035244E"/>
    <w:rsid w:val="003551F5"/>
    <w:rsid w:val="0035657D"/>
    <w:rsid w:val="003628C4"/>
    <w:rsid w:val="00363764"/>
    <w:rsid w:val="00365161"/>
    <w:rsid w:val="00365FFC"/>
    <w:rsid w:val="00366AE9"/>
    <w:rsid w:val="00370176"/>
    <w:rsid w:val="003720EB"/>
    <w:rsid w:val="0037211D"/>
    <w:rsid w:val="0037297D"/>
    <w:rsid w:val="00373F80"/>
    <w:rsid w:val="003748A1"/>
    <w:rsid w:val="00374AE4"/>
    <w:rsid w:val="00374BBE"/>
    <w:rsid w:val="00375E0E"/>
    <w:rsid w:val="00376959"/>
    <w:rsid w:val="00376A28"/>
    <w:rsid w:val="0038085D"/>
    <w:rsid w:val="003808DB"/>
    <w:rsid w:val="00380ED4"/>
    <w:rsid w:val="00381ABF"/>
    <w:rsid w:val="00382EF5"/>
    <w:rsid w:val="00383F6C"/>
    <w:rsid w:val="0038586F"/>
    <w:rsid w:val="00390678"/>
    <w:rsid w:val="00390F62"/>
    <w:rsid w:val="0039120A"/>
    <w:rsid w:val="0039204F"/>
    <w:rsid w:val="0039208F"/>
    <w:rsid w:val="00392243"/>
    <w:rsid w:val="0039236C"/>
    <w:rsid w:val="003937D3"/>
    <w:rsid w:val="00394611"/>
    <w:rsid w:val="00394B4F"/>
    <w:rsid w:val="00395402"/>
    <w:rsid w:val="00397CE4"/>
    <w:rsid w:val="003A2125"/>
    <w:rsid w:val="003A28F0"/>
    <w:rsid w:val="003A3141"/>
    <w:rsid w:val="003A38F2"/>
    <w:rsid w:val="003A4BFF"/>
    <w:rsid w:val="003A51B4"/>
    <w:rsid w:val="003A5344"/>
    <w:rsid w:val="003A685E"/>
    <w:rsid w:val="003A7436"/>
    <w:rsid w:val="003B0C14"/>
    <w:rsid w:val="003B0F0F"/>
    <w:rsid w:val="003B39D1"/>
    <w:rsid w:val="003B484F"/>
    <w:rsid w:val="003B5457"/>
    <w:rsid w:val="003B6E6C"/>
    <w:rsid w:val="003B7E5E"/>
    <w:rsid w:val="003C0243"/>
    <w:rsid w:val="003C0AF0"/>
    <w:rsid w:val="003C10FF"/>
    <w:rsid w:val="003C122F"/>
    <w:rsid w:val="003C1A1A"/>
    <w:rsid w:val="003C1B30"/>
    <w:rsid w:val="003C4E7B"/>
    <w:rsid w:val="003C5AC5"/>
    <w:rsid w:val="003C67D9"/>
    <w:rsid w:val="003D1754"/>
    <w:rsid w:val="003D214D"/>
    <w:rsid w:val="003D270A"/>
    <w:rsid w:val="003D31E7"/>
    <w:rsid w:val="003D3C4C"/>
    <w:rsid w:val="003D7121"/>
    <w:rsid w:val="003D7162"/>
    <w:rsid w:val="003D7595"/>
    <w:rsid w:val="003E011A"/>
    <w:rsid w:val="003E01B5"/>
    <w:rsid w:val="003E08E9"/>
    <w:rsid w:val="003E0FCA"/>
    <w:rsid w:val="003E1089"/>
    <w:rsid w:val="003E1146"/>
    <w:rsid w:val="003E1AB6"/>
    <w:rsid w:val="003E2EB3"/>
    <w:rsid w:val="003E461B"/>
    <w:rsid w:val="003E4A11"/>
    <w:rsid w:val="003E5010"/>
    <w:rsid w:val="003E50AD"/>
    <w:rsid w:val="003E6765"/>
    <w:rsid w:val="003F0459"/>
    <w:rsid w:val="003F20CE"/>
    <w:rsid w:val="003F226F"/>
    <w:rsid w:val="003F325A"/>
    <w:rsid w:val="003F3AC1"/>
    <w:rsid w:val="003F4396"/>
    <w:rsid w:val="003F5668"/>
    <w:rsid w:val="003F5EAD"/>
    <w:rsid w:val="003F6974"/>
    <w:rsid w:val="003F7CC6"/>
    <w:rsid w:val="00400561"/>
    <w:rsid w:val="004009A1"/>
    <w:rsid w:val="004032BE"/>
    <w:rsid w:val="00403C38"/>
    <w:rsid w:val="00404910"/>
    <w:rsid w:val="00404ED9"/>
    <w:rsid w:val="00405079"/>
    <w:rsid w:val="0040530C"/>
    <w:rsid w:val="0040655F"/>
    <w:rsid w:val="0040668D"/>
    <w:rsid w:val="00406BE2"/>
    <w:rsid w:val="00407201"/>
    <w:rsid w:val="00407E0E"/>
    <w:rsid w:val="0041137B"/>
    <w:rsid w:val="00413205"/>
    <w:rsid w:val="00414B90"/>
    <w:rsid w:val="0041745A"/>
    <w:rsid w:val="0042001B"/>
    <w:rsid w:val="004203BE"/>
    <w:rsid w:val="00423B14"/>
    <w:rsid w:val="00425D1A"/>
    <w:rsid w:val="004266D2"/>
    <w:rsid w:val="00430685"/>
    <w:rsid w:val="00431580"/>
    <w:rsid w:val="00432155"/>
    <w:rsid w:val="00432159"/>
    <w:rsid w:val="004350AF"/>
    <w:rsid w:val="00440F7D"/>
    <w:rsid w:val="004413DC"/>
    <w:rsid w:val="00444359"/>
    <w:rsid w:val="00450A34"/>
    <w:rsid w:val="00451872"/>
    <w:rsid w:val="004519C8"/>
    <w:rsid w:val="00452E0C"/>
    <w:rsid w:val="00455F31"/>
    <w:rsid w:val="0045758F"/>
    <w:rsid w:val="00457F7F"/>
    <w:rsid w:val="0046036D"/>
    <w:rsid w:val="00460578"/>
    <w:rsid w:val="0046111F"/>
    <w:rsid w:val="00461965"/>
    <w:rsid w:val="00462027"/>
    <w:rsid w:val="00463A71"/>
    <w:rsid w:val="00466356"/>
    <w:rsid w:val="004663AF"/>
    <w:rsid w:val="00467160"/>
    <w:rsid w:val="00470A62"/>
    <w:rsid w:val="004730A6"/>
    <w:rsid w:val="00473DA5"/>
    <w:rsid w:val="004749EC"/>
    <w:rsid w:val="004755ED"/>
    <w:rsid w:val="00476CDD"/>
    <w:rsid w:val="004779A0"/>
    <w:rsid w:val="004803FE"/>
    <w:rsid w:val="004815FA"/>
    <w:rsid w:val="00482496"/>
    <w:rsid w:val="00482BD1"/>
    <w:rsid w:val="0048302E"/>
    <w:rsid w:val="00483C8C"/>
    <w:rsid w:val="0048503C"/>
    <w:rsid w:val="0048596A"/>
    <w:rsid w:val="004863FF"/>
    <w:rsid w:val="00491A63"/>
    <w:rsid w:val="0049203B"/>
    <w:rsid w:val="004927E8"/>
    <w:rsid w:val="00494C6E"/>
    <w:rsid w:val="004961B0"/>
    <w:rsid w:val="00497FF5"/>
    <w:rsid w:val="004A0404"/>
    <w:rsid w:val="004A09DB"/>
    <w:rsid w:val="004A123F"/>
    <w:rsid w:val="004A2FC6"/>
    <w:rsid w:val="004A41CC"/>
    <w:rsid w:val="004A495C"/>
    <w:rsid w:val="004A4993"/>
    <w:rsid w:val="004A4CB8"/>
    <w:rsid w:val="004A57FC"/>
    <w:rsid w:val="004A652F"/>
    <w:rsid w:val="004A6F62"/>
    <w:rsid w:val="004A76B5"/>
    <w:rsid w:val="004A7B7C"/>
    <w:rsid w:val="004B10BC"/>
    <w:rsid w:val="004B2045"/>
    <w:rsid w:val="004B3DCF"/>
    <w:rsid w:val="004B419C"/>
    <w:rsid w:val="004B4E8E"/>
    <w:rsid w:val="004B5376"/>
    <w:rsid w:val="004B546A"/>
    <w:rsid w:val="004B58D0"/>
    <w:rsid w:val="004B6A27"/>
    <w:rsid w:val="004B7182"/>
    <w:rsid w:val="004B71D7"/>
    <w:rsid w:val="004B78E2"/>
    <w:rsid w:val="004C0273"/>
    <w:rsid w:val="004C032C"/>
    <w:rsid w:val="004C083D"/>
    <w:rsid w:val="004C1E2B"/>
    <w:rsid w:val="004C2070"/>
    <w:rsid w:val="004C23B7"/>
    <w:rsid w:val="004C32B4"/>
    <w:rsid w:val="004C3358"/>
    <w:rsid w:val="004C33BB"/>
    <w:rsid w:val="004C4301"/>
    <w:rsid w:val="004C5731"/>
    <w:rsid w:val="004C575A"/>
    <w:rsid w:val="004C6272"/>
    <w:rsid w:val="004C6F55"/>
    <w:rsid w:val="004D058A"/>
    <w:rsid w:val="004D1799"/>
    <w:rsid w:val="004D2B2E"/>
    <w:rsid w:val="004D4DFA"/>
    <w:rsid w:val="004D4EE0"/>
    <w:rsid w:val="004D6406"/>
    <w:rsid w:val="004D7701"/>
    <w:rsid w:val="004E0D36"/>
    <w:rsid w:val="004E2F37"/>
    <w:rsid w:val="004E324A"/>
    <w:rsid w:val="004E4AB5"/>
    <w:rsid w:val="004E566F"/>
    <w:rsid w:val="004E5800"/>
    <w:rsid w:val="004F0151"/>
    <w:rsid w:val="004F078E"/>
    <w:rsid w:val="004F0A55"/>
    <w:rsid w:val="004F12A7"/>
    <w:rsid w:val="004F1B8C"/>
    <w:rsid w:val="004F32E0"/>
    <w:rsid w:val="004F3441"/>
    <w:rsid w:val="004F3F77"/>
    <w:rsid w:val="004F42D0"/>
    <w:rsid w:val="004F620B"/>
    <w:rsid w:val="004F6329"/>
    <w:rsid w:val="004F6B88"/>
    <w:rsid w:val="004F6CBD"/>
    <w:rsid w:val="004F6F44"/>
    <w:rsid w:val="00500D69"/>
    <w:rsid w:val="00500ECA"/>
    <w:rsid w:val="00501405"/>
    <w:rsid w:val="00503008"/>
    <w:rsid w:val="00504182"/>
    <w:rsid w:val="00504CA3"/>
    <w:rsid w:val="00506313"/>
    <w:rsid w:val="00507184"/>
    <w:rsid w:val="0050794D"/>
    <w:rsid w:val="005103B4"/>
    <w:rsid w:val="00510CE0"/>
    <w:rsid w:val="00512DA7"/>
    <w:rsid w:val="005132A5"/>
    <w:rsid w:val="00515E4D"/>
    <w:rsid w:val="005160D2"/>
    <w:rsid w:val="005176BB"/>
    <w:rsid w:val="00517833"/>
    <w:rsid w:val="00520793"/>
    <w:rsid w:val="005209F1"/>
    <w:rsid w:val="00521832"/>
    <w:rsid w:val="005220A5"/>
    <w:rsid w:val="00522374"/>
    <w:rsid w:val="005229D6"/>
    <w:rsid w:val="005240FF"/>
    <w:rsid w:val="0052567B"/>
    <w:rsid w:val="00525C79"/>
    <w:rsid w:val="00526EA7"/>
    <w:rsid w:val="005312FF"/>
    <w:rsid w:val="00531EE5"/>
    <w:rsid w:val="00532304"/>
    <w:rsid w:val="005334CE"/>
    <w:rsid w:val="00536EFA"/>
    <w:rsid w:val="005378C2"/>
    <w:rsid w:val="00537D77"/>
    <w:rsid w:val="00537DF7"/>
    <w:rsid w:val="00540B23"/>
    <w:rsid w:val="00540F2E"/>
    <w:rsid w:val="00541A2C"/>
    <w:rsid w:val="005425AE"/>
    <w:rsid w:val="00544EE1"/>
    <w:rsid w:val="005461BF"/>
    <w:rsid w:val="005504D9"/>
    <w:rsid w:val="00550966"/>
    <w:rsid w:val="00552418"/>
    <w:rsid w:val="00552DCB"/>
    <w:rsid w:val="00553BAC"/>
    <w:rsid w:val="00554133"/>
    <w:rsid w:val="00554FC5"/>
    <w:rsid w:val="00555E0D"/>
    <w:rsid w:val="00557582"/>
    <w:rsid w:val="00557712"/>
    <w:rsid w:val="00560ED8"/>
    <w:rsid w:val="005616A9"/>
    <w:rsid w:val="00561F3E"/>
    <w:rsid w:val="00563683"/>
    <w:rsid w:val="0057094F"/>
    <w:rsid w:val="005715C0"/>
    <w:rsid w:val="00572DA6"/>
    <w:rsid w:val="0057469B"/>
    <w:rsid w:val="0057671C"/>
    <w:rsid w:val="0057770C"/>
    <w:rsid w:val="00577A53"/>
    <w:rsid w:val="00581344"/>
    <w:rsid w:val="0058160E"/>
    <w:rsid w:val="00582958"/>
    <w:rsid w:val="00582A0C"/>
    <w:rsid w:val="00582ABC"/>
    <w:rsid w:val="00582F49"/>
    <w:rsid w:val="00583F8B"/>
    <w:rsid w:val="00584AEC"/>
    <w:rsid w:val="005850DF"/>
    <w:rsid w:val="00586A22"/>
    <w:rsid w:val="00591834"/>
    <w:rsid w:val="00592908"/>
    <w:rsid w:val="00592B10"/>
    <w:rsid w:val="00592E67"/>
    <w:rsid w:val="005939ED"/>
    <w:rsid w:val="00594160"/>
    <w:rsid w:val="005943FE"/>
    <w:rsid w:val="005946AF"/>
    <w:rsid w:val="0059477E"/>
    <w:rsid w:val="00594DBF"/>
    <w:rsid w:val="00595690"/>
    <w:rsid w:val="00595C38"/>
    <w:rsid w:val="00596095"/>
    <w:rsid w:val="00596818"/>
    <w:rsid w:val="00597430"/>
    <w:rsid w:val="005A2437"/>
    <w:rsid w:val="005A3C51"/>
    <w:rsid w:val="005A3F78"/>
    <w:rsid w:val="005A4057"/>
    <w:rsid w:val="005A5C47"/>
    <w:rsid w:val="005A7B1E"/>
    <w:rsid w:val="005B03F8"/>
    <w:rsid w:val="005B0F18"/>
    <w:rsid w:val="005B103B"/>
    <w:rsid w:val="005B1E6A"/>
    <w:rsid w:val="005B3469"/>
    <w:rsid w:val="005B393C"/>
    <w:rsid w:val="005B39A3"/>
    <w:rsid w:val="005B6D9C"/>
    <w:rsid w:val="005B734E"/>
    <w:rsid w:val="005B7D30"/>
    <w:rsid w:val="005C1402"/>
    <w:rsid w:val="005C21B1"/>
    <w:rsid w:val="005C2E3D"/>
    <w:rsid w:val="005C332A"/>
    <w:rsid w:val="005C3D43"/>
    <w:rsid w:val="005C5357"/>
    <w:rsid w:val="005C64D1"/>
    <w:rsid w:val="005C710C"/>
    <w:rsid w:val="005C720B"/>
    <w:rsid w:val="005D0420"/>
    <w:rsid w:val="005D0927"/>
    <w:rsid w:val="005D1DD1"/>
    <w:rsid w:val="005D3A6D"/>
    <w:rsid w:val="005D497D"/>
    <w:rsid w:val="005D5B16"/>
    <w:rsid w:val="005D621D"/>
    <w:rsid w:val="005D664A"/>
    <w:rsid w:val="005D7F63"/>
    <w:rsid w:val="005E0E5F"/>
    <w:rsid w:val="005E2195"/>
    <w:rsid w:val="005E27AD"/>
    <w:rsid w:val="005E3CF8"/>
    <w:rsid w:val="005E4D5E"/>
    <w:rsid w:val="005E52DD"/>
    <w:rsid w:val="005E6E3F"/>
    <w:rsid w:val="005F0AC3"/>
    <w:rsid w:val="005F13E7"/>
    <w:rsid w:val="005F1E77"/>
    <w:rsid w:val="005F39EE"/>
    <w:rsid w:val="005F404A"/>
    <w:rsid w:val="005F4980"/>
    <w:rsid w:val="005F5780"/>
    <w:rsid w:val="005F57F0"/>
    <w:rsid w:val="005F651A"/>
    <w:rsid w:val="005F6CDB"/>
    <w:rsid w:val="006010B4"/>
    <w:rsid w:val="006018EC"/>
    <w:rsid w:val="00603332"/>
    <w:rsid w:val="00604041"/>
    <w:rsid w:val="0060680D"/>
    <w:rsid w:val="0060698F"/>
    <w:rsid w:val="00606C63"/>
    <w:rsid w:val="00607AB6"/>
    <w:rsid w:val="006106F8"/>
    <w:rsid w:val="006112D3"/>
    <w:rsid w:val="0061141A"/>
    <w:rsid w:val="00611B44"/>
    <w:rsid w:val="00612E28"/>
    <w:rsid w:val="006140FB"/>
    <w:rsid w:val="00614115"/>
    <w:rsid w:val="0061420D"/>
    <w:rsid w:val="00614F42"/>
    <w:rsid w:val="00615216"/>
    <w:rsid w:val="00615258"/>
    <w:rsid w:val="006172D5"/>
    <w:rsid w:val="00620D3F"/>
    <w:rsid w:val="00621011"/>
    <w:rsid w:val="00621EF6"/>
    <w:rsid w:val="006231D9"/>
    <w:rsid w:val="00623990"/>
    <w:rsid w:val="00623AC4"/>
    <w:rsid w:val="00623BCC"/>
    <w:rsid w:val="0062475B"/>
    <w:rsid w:val="00625FB0"/>
    <w:rsid w:val="00626177"/>
    <w:rsid w:val="006263F3"/>
    <w:rsid w:val="00626BC7"/>
    <w:rsid w:val="00626E8E"/>
    <w:rsid w:val="00627522"/>
    <w:rsid w:val="00627976"/>
    <w:rsid w:val="00627DBE"/>
    <w:rsid w:val="00630424"/>
    <w:rsid w:val="006319E8"/>
    <w:rsid w:val="00633A2B"/>
    <w:rsid w:val="006340F8"/>
    <w:rsid w:val="00634325"/>
    <w:rsid w:val="00636B2B"/>
    <w:rsid w:val="00640CDA"/>
    <w:rsid w:val="00642207"/>
    <w:rsid w:val="00642E6B"/>
    <w:rsid w:val="0064389B"/>
    <w:rsid w:val="0064665A"/>
    <w:rsid w:val="006468E0"/>
    <w:rsid w:val="00647364"/>
    <w:rsid w:val="00647D0A"/>
    <w:rsid w:val="006524E4"/>
    <w:rsid w:val="00653168"/>
    <w:rsid w:val="0065363D"/>
    <w:rsid w:val="00653925"/>
    <w:rsid w:val="006562E4"/>
    <w:rsid w:val="006576F7"/>
    <w:rsid w:val="006577E7"/>
    <w:rsid w:val="0066133C"/>
    <w:rsid w:val="006613AA"/>
    <w:rsid w:val="006614FD"/>
    <w:rsid w:val="00661E9C"/>
    <w:rsid w:val="00663829"/>
    <w:rsid w:val="00665D83"/>
    <w:rsid w:val="00671036"/>
    <w:rsid w:val="00671506"/>
    <w:rsid w:val="00672178"/>
    <w:rsid w:val="006726C8"/>
    <w:rsid w:val="006727EB"/>
    <w:rsid w:val="00674A41"/>
    <w:rsid w:val="00676185"/>
    <w:rsid w:val="00680E73"/>
    <w:rsid w:val="006817C9"/>
    <w:rsid w:val="006817F5"/>
    <w:rsid w:val="00681BA0"/>
    <w:rsid w:val="00682251"/>
    <w:rsid w:val="0068248C"/>
    <w:rsid w:val="00682894"/>
    <w:rsid w:val="006833D4"/>
    <w:rsid w:val="006838FA"/>
    <w:rsid w:val="006841D1"/>
    <w:rsid w:val="00684D65"/>
    <w:rsid w:val="006856D7"/>
    <w:rsid w:val="006863BD"/>
    <w:rsid w:val="006867D9"/>
    <w:rsid w:val="006877D8"/>
    <w:rsid w:val="00690A16"/>
    <w:rsid w:val="00690CC4"/>
    <w:rsid w:val="00690FF9"/>
    <w:rsid w:val="00691060"/>
    <w:rsid w:val="006910AA"/>
    <w:rsid w:val="00691656"/>
    <w:rsid w:val="00691891"/>
    <w:rsid w:val="00692DF4"/>
    <w:rsid w:val="00693BDF"/>
    <w:rsid w:val="00693C58"/>
    <w:rsid w:val="00693ED4"/>
    <w:rsid w:val="00695676"/>
    <w:rsid w:val="00697B6A"/>
    <w:rsid w:val="006A0225"/>
    <w:rsid w:val="006A0CB9"/>
    <w:rsid w:val="006A10C8"/>
    <w:rsid w:val="006A12BF"/>
    <w:rsid w:val="006A1D4F"/>
    <w:rsid w:val="006A27BB"/>
    <w:rsid w:val="006A31BB"/>
    <w:rsid w:val="006A3361"/>
    <w:rsid w:val="006A426F"/>
    <w:rsid w:val="006A4EA5"/>
    <w:rsid w:val="006A5397"/>
    <w:rsid w:val="006A651B"/>
    <w:rsid w:val="006A784D"/>
    <w:rsid w:val="006B052A"/>
    <w:rsid w:val="006B0629"/>
    <w:rsid w:val="006B1C28"/>
    <w:rsid w:val="006B1D0F"/>
    <w:rsid w:val="006B2E8B"/>
    <w:rsid w:val="006B3521"/>
    <w:rsid w:val="006B5019"/>
    <w:rsid w:val="006B5F15"/>
    <w:rsid w:val="006B62E3"/>
    <w:rsid w:val="006B6489"/>
    <w:rsid w:val="006B70A6"/>
    <w:rsid w:val="006B723A"/>
    <w:rsid w:val="006B7CDF"/>
    <w:rsid w:val="006B7F20"/>
    <w:rsid w:val="006C095C"/>
    <w:rsid w:val="006C1E94"/>
    <w:rsid w:val="006C2439"/>
    <w:rsid w:val="006C36E0"/>
    <w:rsid w:val="006C4239"/>
    <w:rsid w:val="006C44CF"/>
    <w:rsid w:val="006C4869"/>
    <w:rsid w:val="006C4D61"/>
    <w:rsid w:val="006C602D"/>
    <w:rsid w:val="006C60E6"/>
    <w:rsid w:val="006C626F"/>
    <w:rsid w:val="006C66D8"/>
    <w:rsid w:val="006C6AF4"/>
    <w:rsid w:val="006C702D"/>
    <w:rsid w:val="006C79B7"/>
    <w:rsid w:val="006C79DB"/>
    <w:rsid w:val="006D18DD"/>
    <w:rsid w:val="006D1EE1"/>
    <w:rsid w:val="006D20D0"/>
    <w:rsid w:val="006D4CC4"/>
    <w:rsid w:val="006D75D6"/>
    <w:rsid w:val="006E0D25"/>
    <w:rsid w:val="006E18E5"/>
    <w:rsid w:val="006E1AE8"/>
    <w:rsid w:val="006E23E1"/>
    <w:rsid w:val="006E30B4"/>
    <w:rsid w:val="006E464D"/>
    <w:rsid w:val="006E4688"/>
    <w:rsid w:val="006E4BE0"/>
    <w:rsid w:val="006E5AD9"/>
    <w:rsid w:val="006F015E"/>
    <w:rsid w:val="006F1229"/>
    <w:rsid w:val="006F1505"/>
    <w:rsid w:val="006F153C"/>
    <w:rsid w:val="006F2497"/>
    <w:rsid w:val="006F3777"/>
    <w:rsid w:val="006F39F0"/>
    <w:rsid w:val="006F3B91"/>
    <w:rsid w:val="006F3E31"/>
    <w:rsid w:val="006F4A31"/>
    <w:rsid w:val="006F5734"/>
    <w:rsid w:val="006F59AF"/>
    <w:rsid w:val="00701206"/>
    <w:rsid w:val="00701CC7"/>
    <w:rsid w:val="007028AC"/>
    <w:rsid w:val="00702961"/>
    <w:rsid w:val="00704307"/>
    <w:rsid w:val="007052D1"/>
    <w:rsid w:val="00705B64"/>
    <w:rsid w:val="007063B0"/>
    <w:rsid w:val="00707C07"/>
    <w:rsid w:val="00707F4B"/>
    <w:rsid w:val="00710380"/>
    <w:rsid w:val="0071058B"/>
    <w:rsid w:val="00711557"/>
    <w:rsid w:val="00712B66"/>
    <w:rsid w:val="00712E95"/>
    <w:rsid w:val="00712F5A"/>
    <w:rsid w:val="00713C6D"/>
    <w:rsid w:val="00716F7D"/>
    <w:rsid w:val="00720037"/>
    <w:rsid w:val="00720E03"/>
    <w:rsid w:val="00720FF8"/>
    <w:rsid w:val="007226B8"/>
    <w:rsid w:val="00723536"/>
    <w:rsid w:val="00725811"/>
    <w:rsid w:val="0072665B"/>
    <w:rsid w:val="00726F77"/>
    <w:rsid w:val="00727896"/>
    <w:rsid w:val="007301C4"/>
    <w:rsid w:val="0073088B"/>
    <w:rsid w:val="0073141B"/>
    <w:rsid w:val="007314DE"/>
    <w:rsid w:val="00731F98"/>
    <w:rsid w:val="007320E9"/>
    <w:rsid w:val="0073224F"/>
    <w:rsid w:val="007323DF"/>
    <w:rsid w:val="00734195"/>
    <w:rsid w:val="00734750"/>
    <w:rsid w:val="00736D16"/>
    <w:rsid w:val="00740246"/>
    <w:rsid w:val="00741322"/>
    <w:rsid w:val="00741BE2"/>
    <w:rsid w:val="00741D71"/>
    <w:rsid w:val="00741E1B"/>
    <w:rsid w:val="00742922"/>
    <w:rsid w:val="00745F44"/>
    <w:rsid w:val="00746732"/>
    <w:rsid w:val="007467E0"/>
    <w:rsid w:val="00746C42"/>
    <w:rsid w:val="007510B8"/>
    <w:rsid w:val="00752D21"/>
    <w:rsid w:val="0075300E"/>
    <w:rsid w:val="00754C8E"/>
    <w:rsid w:val="00755454"/>
    <w:rsid w:val="00757753"/>
    <w:rsid w:val="00757949"/>
    <w:rsid w:val="007605C4"/>
    <w:rsid w:val="00761B60"/>
    <w:rsid w:val="00761C0D"/>
    <w:rsid w:val="00763DC8"/>
    <w:rsid w:val="0076567C"/>
    <w:rsid w:val="00766414"/>
    <w:rsid w:val="007672EA"/>
    <w:rsid w:val="0077074B"/>
    <w:rsid w:val="0077160E"/>
    <w:rsid w:val="00771C7A"/>
    <w:rsid w:val="007734B3"/>
    <w:rsid w:val="00773C7B"/>
    <w:rsid w:val="00775C9A"/>
    <w:rsid w:val="00776A29"/>
    <w:rsid w:val="00780B03"/>
    <w:rsid w:val="0078142C"/>
    <w:rsid w:val="00781833"/>
    <w:rsid w:val="00781D36"/>
    <w:rsid w:val="00785635"/>
    <w:rsid w:val="00786EF9"/>
    <w:rsid w:val="00790F67"/>
    <w:rsid w:val="00792F35"/>
    <w:rsid w:val="00793921"/>
    <w:rsid w:val="00793DD4"/>
    <w:rsid w:val="00794979"/>
    <w:rsid w:val="00794BED"/>
    <w:rsid w:val="00794D20"/>
    <w:rsid w:val="0079545E"/>
    <w:rsid w:val="007960CF"/>
    <w:rsid w:val="00796E28"/>
    <w:rsid w:val="007A05C5"/>
    <w:rsid w:val="007A0DC4"/>
    <w:rsid w:val="007A157D"/>
    <w:rsid w:val="007A17AD"/>
    <w:rsid w:val="007A1B18"/>
    <w:rsid w:val="007A24F0"/>
    <w:rsid w:val="007A35DC"/>
    <w:rsid w:val="007A3CAB"/>
    <w:rsid w:val="007A469F"/>
    <w:rsid w:val="007A5325"/>
    <w:rsid w:val="007A55B9"/>
    <w:rsid w:val="007A581A"/>
    <w:rsid w:val="007A5A5F"/>
    <w:rsid w:val="007B018B"/>
    <w:rsid w:val="007B0EB5"/>
    <w:rsid w:val="007B1054"/>
    <w:rsid w:val="007B151E"/>
    <w:rsid w:val="007B1A75"/>
    <w:rsid w:val="007B1FFB"/>
    <w:rsid w:val="007B7134"/>
    <w:rsid w:val="007B7F10"/>
    <w:rsid w:val="007C0384"/>
    <w:rsid w:val="007C0C76"/>
    <w:rsid w:val="007C1A7D"/>
    <w:rsid w:val="007C1DDA"/>
    <w:rsid w:val="007C20CD"/>
    <w:rsid w:val="007C34F4"/>
    <w:rsid w:val="007C47C1"/>
    <w:rsid w:val="007D027D"/>
    <w:rsid w:val="007D0D1F"/>
    <w:rsid w:val="007D10BC"/>
    <w:rsid w:val="007D1206"/>
    <w:rsid w:val="007D2A23"/>
    <w:rsid w:val="007D2BF9"/>
    <w:rsid w:val="007D325C"/>
    <w:rsid w:val="007D4B93"/>
    <w:rsid w:val="007D4C9C"/>
    <w:rsid w:val="007D5FF8"/>
    <w:rsid w:val="007D6302"/>
    <w:rsid w:val="007E03FB"/>
    <w:rsid w:val="007E3B57"/>
    <w:rsid w:val="007E431E"/>
    <w:rsid w:val="007E43BE"/>
    <w:rsid w:val="007E4AC1"/>
    <w:rsid w:val="007E60D2"/>
    <w:rsid w:val="007E6BFC"/>
    <w:rsid w:val="007E6C02"/>
    <w:rsid w:val="007E7D08"/>
    <w:rsid w:val="007E7EF6"/>
    <w:rsid w:val="007F3890"/>
    <w:rsid w:val="007F5374"/>
    <w:rsid w:val="007F5CC0"/>
    <w:rsid w:val="007F61C4"/>
    <w:rsid w:val="007F78F5"/>
    <w:rsid w:val="00800093"/>
    <w:rsid w:val="008007F3"/>
    <w:rsid w:val="0080159F"/>
    <w:rsid w:val="008015B9"/>
    <w:rsid w:val="00802339"/>
    <w:rsid w:val="008028AD"/>
    <w:rsid w:val="00802F94"/>
    <w:rsid w:val="00803DEF"/>
    <w:rsid w:val="008053CD"/>
    <w:rsid w:val="00806E83"/>
    <w:rsid w:val="00806F97"/>
    <w:rsid w:val="0080700D"/>
    <w:rsid w:val="00807283"/>
    <w:rsid w:val="0080733D"/>
    <w:rsid w:val="008076DD"/>
    <w:rsid w:val="00810C4D"/>
    <w:rsid w:val="00810CAD"/>
    <w:rsid w:val="00811061"/>
    <w:rsid w:val="008123EC"/>
    <w:rsid w:val="00812D20"/>
    <w:rsid w:val="008149DC"/>
    <w:rsid w:val="00814D29"/>
    <w:rsid w:val="008161FB"/>
    <w:rsid w:val="00816648"/>
    <w:rsid w:val="008169BE"/>
    <w:rsid w:val="00820CE7"/>
    <w:rsid w:val="00823158"/>
    <w:rsid w:val="00823538"/>
    <w:rsid w:val="00823AEC"/>
    <w:rsid w:val="008247D7"/>
    <w:rsid w:val="00824C2D"/>
    <w:rsid w:val="00825717"/>
    <w:rsid w:val="008300BC"/>
    <w:rsid w:val="00830947"/>
    <w:rsid w:val="008328BF"/>
    <w:rsid w:val="008333EC"/>
    <w:rsid w:val="00833B7C"/>
    <w:rsid w:val="00834E65"/>
    <w:rsid w:val="00836330"/>
    <w:rsid w:val="00840F90"/>
    <w:rsid w:val="00841394"/>
    <w:rsid w:val="00841894"/>
    <w:rsid w:val="00841BE8"/>
    <w:rsid w:val="008424DF"/>
    <w:rsid w:val="00844685"/>
    <w:rsid w:val="008446BF"/>
    <w:rsid w:val="00845161"/>
    <w:rsid w:val="008479F1"/>
    <w:rsid w:val="008513DD"/>
    <w:rsid w:val="00851769"/>
    <w:rsid w:val="00851C6C"/>
    <w:rsid w:val="008526D8"/>
    <w:rsid w:val="008535AE"/>
    <w:rsid w:val="008536D9"/>
    <w:rsid w:val="00854978"/>
    <w:rsid w:val="008553CA"/>
    <w:rsid w:val="00855A6C"/>
    <w:rsid w:val="00857DCD"/>
    <w:rsid w:val="00857EEE"/>
    <w:rsid w:val="00861E8C"/>
    <w:rsid w:val="0086225C"/>
    <w:rsid w:val="00862D87"/>
    <w:rsid w:val="008645C2"/>
    <w:rsid w:val="008656C1"/>
    <w:rsid w:val="008666B7"/>
    <w:rsid w:val="008668C8"/>
    <w:rsid w:val="00866ABD"/>
    <w:rsid w:val="00867609"/>
    <w:rsid w:val="00870477"/>
    <w:rsid w:val="00870F31"/>
    <w:rsid w:val="00871143"/>
    <w:rsid w:val="0087217F"/>
    <w:rsid w:val="00874637"/>
    <w:rsid w:val="00875006"/>
    <w:rsid w:val="008771BE"/>
    <w:rsid w:val="0087793D"/>
    <w:rsid w:val="00877E5D"/>
    <w:rsid w:val="00877ECB"/>
    <w:rsid w:val="00881C41"/>
    <w:rsid w:val="00881EA2"/>
    <w:rsid w:val="00885200"/>
    <w:rsid w:val="00886A13"/>
    <w:rsid w:val="00886A5F"/>
    <w:rsid w:val="00887402"/>
    <w:rsid w:val="00887CDE"/>
    <w:rsid w:val="008915AE"/>
    <w:rsid w:val="00892D76"/>
    <w:rsid w:val="008933AE"/>
    <w:rsid w:val="008945ED"/>
    <w:rsid w:val="008975EA"/>
    <w:rsid w:val="008A0D23"/>
    <w:rsid w:val="008A1630"/>
    <w:rsid w:val="008A2ECA"/>
    <w:rsid w:val="008A42DF"/>
    <w:rsid w:val="008A5958"/>
    <w:rsid w:val="008A5D07"/>
    <w:rsid w:val="008A6418"/>
    <w:rsid w:val="008B354E"/>
    <w:rsid w:val="008B6B8B"/>
    <w:rsid w:val="008B71FE"/>
    <w:rsid w:val="008C0B2E"/>
    <w:rsid w:val="008C12B0"/>
    <w:rsid w:val="008C2199"/>
    <w:rsid w:val="008C22C3"/>
    <w:rsid w:val="008C24ED"/>
    <w:rsid w:val="008C27CD"/>
    <w:rsid w:val="008C30FB"/>
    <w:rsid w:val="008C34F3"/>
    <w:rsid w:val="008C39A6"/>
    <w:rsid w:val="008C5A69"/>
    <w:rsid w:val="008C616A"/>
    <w:rsid w:val="008C6789"/>
    <w:rsid w:val="008C796C"/>
    <w:rsid w:val="008D0161"/>
    <w:rsid w:val="008D21A1"/>
    <w:rsid w:val="008D379B"/>
    <w:rsid w:val="008D5495"/>
    <w:rsid w:val="008D794D"/>
    <w:rsid w:val="008E08B0"/>
    <w:rsid w:val="008E0A2B"/>
    <w:rsid w:val="008E0CBA"/>
    <w:rsid w:val="008E1E83"/>
    <w:rsid w:val="008E2332"/>
    <w:rsid w:val="008E2879"/>
    <w:rsid w:val="008E4951"/>
    <w:rsid w:val="008E5ACD"/>
    <w:rsid w:val="008E5EDE"/>
    <w:rsid w:val="008E6A17"/>
    <w:rsid w:val="008F1189"/>
    <w:rsid w:val="008F1C1A"/>
    <w:rsid w:val="008F1D92"/>
    <w:rsid w:val="008F1F98"/>
    <w:rsid w:val="008F209C"/>
    <w:rsid w:val="008F3425"/>
    <w:rsid w:val="008F4400"/>
    <w:rsid w:val="008F6F1F"/>
    <w:rsid w:val="008F704C"/>
    <w:rsid w:val="008F7E63"/>
    <w:rsid w:val="008F7F3C"/>
    <w:rsid w:val="00901EDC"/>
    <w:rsid w:val="00902006"/>
    <w:rsid w:val="009024DC"/>
    <w:rsid w:val="00904241"/>
    <w:rsid w:val="00905EA8"/>
    <w:rsid w:val="009062FB"/>
    <w:rsid w:val="009063D9"/>
    <w:rsid w:val="00906C5F"/>
    <w:rsid w:val="00906EB9"/>
    <w:rsid w:val="0090778F"/>
    <w:rsid w:val="009104C1"/>
    <w:rsid w:val="0091192A"/>
    <w:rsid w:val="009135D3"/>
    <w:rsid w:val="009165D4"/>
    <w:rsid w:val="00920354"/>
    <w:rsid w:val="00920DF6"/>
    <w:rsid w:val="0092137B"/>
    <w:rsid w:val="009233D9"/>
    <w:rsid w:val="009239A0"/>
    <w:rsid w:val="0092574E"/>
    <w:rsid w:val="00930AEF"/>
    <w:rsid w:val="0093214D"/>
    <w:rsid w:val="00932226"/>
    <w:rsid w:val="00935200"/>
    <w:rsid w:val="00935607"/>
    <w:rsid w:val="0093726C"/>
    <w:rsid w:val="0093775F"/>
    <w:rsid w:val="00940470"/>
    <w:rsid w:val="00941513"/>
    <w:rsid w:val="00942878"/>
    <w:rsid w:val="00942EBA"/>
    <w:rsid w:val="0094418C"/>
    <w:rsid w:val="009451AF"/>
    <w:rsid w:val="00945A5F"/>
    <w:rsid w:val="00947077"/>
    <w:rsid w:val="0094797E"/>
    <w:rsid w:val="00947FD3"/>
    <w:rsid w:val="009501CF"/>
    <w:rsid w:val="00951823"/>
    <w:rsid w:val="00953595"/>
    <w:rsid w:val="00955086"/>
    <w:rsid w:val="009558F5"/>
    <w:rsid w:val="0095617C"/>
    <w:rsid w:val="0096048F"/>
    <w:rsid w:val="00961A5E"/>
    <w:rsid w:val="009621D9"/>
    <w:rsid w:val="009629C2"/>
    <w:rsid w:val="00962F97"/>
    <w:rsid w:val="0096381F"/>
    <w:rsid w:val="009647DD"/>
    <w:rsid w:val="00964846"/>
    <w:rsid w:val="00966210"/>
    <w:rsid w:val="0096658D"/>
    <w:rsid w:val="009679BE"/>
    <w:rsid w:val="00971F3B"/>
    <w:rsid w:val="009739EB"/>
    <w:rsid w:val="009739EE"/>
    <w:rsid w:val="0097444C"/>
    <w:rsid w:val="00974EFC"/>
    <w:rsid w:val="00975873"/>
    <w:rsid w:val="00975A22"/>
    <w:rsid w:val="00975ACA"/>
    <w:rsid w:val="00977301"/>
    <w:rsid w:val="00977B08"/>
    <w:rsid w:val="00977B98"/>
    <w:rsid w:val="0098034B"/>
    <w:rsid w:val="009807E9"/>
    <w:rsid w:val="0098108B"/>
    <w:rsid w:val="00982182"/>
    <w:rsid w:val="00982FBD"/>
    <w:rsid w:val="0098349D"/>
    <w:rsid w:val="0098383D"/>
    <w:rsid w:val="009841B7"/>
    <w:rsid w:val="00984552"/>
    <w:rsid w:val="00987C23"/>
    <w:rsid w:val="00987DD5"/>
    <w:rsid w:val="00991223"/>
    <w:rsid w:val="00994708"/>
    <w:rsid w:val="00994E2B"/>
    <w:rsid w:val="0099517D"/>
    <w:rsid w:val="009964A7"/>
    <w:rsid w:val="0099654C"/>
    <w:rsid w:val="009A0782"/>
    <w:rsid w:val="009A1623"/>
    <w:rsid w:val="009A1B70"/>
    <w:rsid w:val="009A2774"/>
    <w:rsid w:val="009A30D1"/>
    <w:rsid w:val="009A312F"/>
    <w:rsid w:val="009A3305"/>
    <w:rsid w:val="009A3448"/>
    <w:rsid w:val="009A3E81"/>
    <w:rsid w:val="009A43ED"/>
    <w:rsid w:val="009A464A"/>
    <w:rsid w:val="009A567F"/>
    <w:rsid w:val="009A7DA7"/>
    <w:rsid w:val="009B086D"/>
    <w:rsid w:val="009B0D55"/>
    <w:rsid w:val="009B3AF1"/>
    <w:rsid w:val="009B3F23"/>
    <w:rsid w:val="009B54DF"/>
    <w:rsid w:val="009B5A0B"/>
    <w:rsid w:val="009B742A"/>
    <w:rsid w:val="009C05BA"/>
    <w:rsid w:val="009C12A9"/>
    <w:rsid w:val="009C1403"/>
    <w:rsid w:val="009C1890"/>
    <w:rsid w:val="009C48D7"/>
    <w:rsid w:val="009D02B8"/>
    <w:rsid w:val="009D12FB"/>
    <w:rsid w:val="009D1B70"/>
    <w:rsid w:val="009D20EC"/>
    <w:rsid w:val="009D384D"/>
    <w:rsid w:val="009D79D0"/>
    <w:rsid w:val="009E0D69"/>
    <w:rsid w:val="009E1AB6"/>
    <w:rsid w:val="009E1B54"/>
    <w:rsid w:val="009E241F"/>
    <w:rsid w:val="009E3F7A"/>
    <w:rsid w:val="009E47B7"/>
    <w:rsid w:val="009E6C0B"/>
    <w:rsid w:val="009F0850"/>
    <w:rsid w:val="009F1AF2"/>
    <w:rsid w:val="009F2AFD"/>
    <w:rsid w:val="009F3718"/>
    <w:rsid w:val="009F432C"/>
    <w:rsid w:val="009F5725"/>
    <w:rsid w:val="009F7D3D"/>
    <w:rsid w:val="009F7F09"/>
    <w:rsid w:val="00A001FC"/>
    <w:rsid w:val="00A004DC"/>
    <w:rsid w:val="00A00956"/>
    <w:rsid w:val="00A00C0B"/>
    <w:rsid w:val="00A01E5E"/>
    <w:rsid w:val="00A02C3A"/>
    <w:rsid w:val="00A03C89"/>
    <w:rsid w:val="00A050C4"/>
    <w:rsid w:val="00A05720"/>
    <w:rsid w:val="00A05E42"/>
    <w:rsid w:val="00A06E6C"/>
    <w:rsid w:val="00A06F64"/>
    <w:rsid w:val="00A0772B"/>
    <w:rsid w:val="00A0788E"/>
    <w:rsid w:val="00A10288"/>
    <w:rsid w:val="00A104E5"/>
    <w:rsid w:val="00A10B7C"/>
    <w:rsid w:val="00A115A2"/>
    <w:rsid w:val="00A119F8"/>
    <w:rsid w:val="00A12BC7"/>
    <w:rsid w:val="00A13827"/>
    <w:rsid w:val="00A13BBA"/>
    <w:rsid w:val="00A15AD2"/>
    <w:rsid w:val="00A16299"/>
    <w:rsid w:val="00A1653B"/>
    <w:rsid w:val="00A16D2C"/>
    <w:rsid w:val="00A20734"/>
    <w:rsid w:val="00A207D3"/>
    <w:rsid w:val="00A20D25"/>
    <w:rsid w:val="00A213EA"/>
    <w:rsid w:val="00A21570"/>
    <w:rsid w:val="00A226D1"/>
    <w:rsid w:val="00A265F7"/>
    <w:rsid w:val="00A27C32"/>
    <w:rsid w:val="00A27F56"/>
    <w:rsid w:val="00A314A5"/>
    <w:rsid w:val="00A330BB"/>
    <w:rsid w:val="00A349F9"/>
    <w:rsid w:val="00A3548F"/>
    <w:rsid w:val="00A359FD"/>
    <w:rsid w:val="00A35D86"/>
    <w:rsid w:val="00A37775"/>
    <w:rsid w:val="00A37CAF"/>
    <w:rsid w:val="00A40130"/>
    <w:rsid w:val="00A40377"/>
    <w:rsid w:val="00A41B38"/>
    <w:rsid w:val="00A443FE"/>
    <w:rsid w:val="00A444AC"/>
    <w:rsid w:val="00A45588"/>
    <w:rsid w:val="00A4700E"/>
    <w:rsid w:val="00A475E1"/>
    <w:rsid w:val="00A47BED"/>
    <w:rsid w:val="00A5274D"/>
    <w:rsid w:val="00A52DEF"/>
    <w:rsid w:val="00A53B98"/>
    <w:rsid w:val="00A53BAF"/>
    <w:rsid w:val="00A54493"/>
    <w:rsid w:val="00A54A1E"/>
    <w:rsid w:val="00A56A0E"/>
    <w:rsid w:val="00A57486"/>
    <w:rsid w:val="00A574AA"/>
    <w:rsid w:val="00A60124"/>
    <w:rsid w:val="00A60A15"/>
    <w:rsid w:val="00A63F4A"/>
    <w:rsid w:val="00A6428B"/>
    <w:rsid w:val="00A64725"/>
    <w:rsid w:val="00A65194"/>
    <w:rsid w:val="00A65A54"/>
    <w:rsid w:val="00A66148"/>
    <w:rsid w:val="00A675AB"/>
    <w:rsid w:val="00A7072D"/>
    <w:rsid w:val="00A7117B"/>
    <w:rsid w:val="00A72712"/>
    <w:rsid w:val="00A739EA"/>
    <w:rsid w:val="00A73AD6"/>
    <w:rsid w:val="00A74E41"/>
    <w:rsid w:val="00A750D1"/>
    <w:rsid w:val="00A7538F"/>
    <w:rsid w:val="00A76A59"/>
    <w:rsid w:val="00A770B2"/>
    <w:rsid w:val="00A77705"/>
    <w:rsid w:val="00A806E4"/>
    <w:rsid w:val="00A808A5"/>
    <w:rsid w:val="00A80AD0"/>
    <w:rsid w:val="00A818C2"/>
    <w:rsid w:val="00A82A17"/>
    <w:rsid w:val="00A85683"/>
    <w:rsid w:val="00A87677"/>
    <w:rsid w:val="00A879A9"/>
    <w:rsid w:val="00A916BA"/>
    <w:rsid w:val="00A918DE"/>
    <w:rsid w:val="00A924F2"/>
    <w:rsid w:val="00A928FB"/>
    <w:rsid w:val="00A93184"/>
    <w:rsid w:val="00A942B9"/>
    <w:rsid w:val="00A945B3"/>
    <w:rsid w:val="00A949AF"/>
    <w:rsid w:val="00A95398"/>
    <w:rsid w:val="00A95C0C"/>
    <w:rsid w:val="00A96E31"/>
    <w:rsid w:val="00A96EEB"/>
    <w:rsid w:val="00A97DC8"/>
    <w:rsid w:val="00AA280B"/>
    <w:rsid w:val="00AA32EA"/>
    <w:rsid w:val="00AA410E"/>
    <w:rsid w:val="00AA4A63"/>
    <w:rsid w:val="00AA5066"/>
    <w:rsid w:val="00AA5DF0"/>
    <w:rsid w:val="00AA5E7E"/>
    <w:rsid w:val="00AA7020"/>
    <w:rsid w:val="00AB09CF"/>
    <w:rsid w:val="00AB22DE"/>
    <w:rsid w:val="00AB22EF"/>
    <w:rsid w:val="00AB2656"/>
    <w:rsid w:val="00AB3450"/>
    <w:rsid w:val="00AB3AE2"/>
    <w:rsid w:val="00AB56DE"/>
    <w:rsid w:val="00AB5AED"/>
    <w:rsid w:val="00AB79E2"/>
    <w:rsid w:val="00AC0F83"/>
    <w:rsid w:val="00AC10A9"/>
    <w:rsid w:val="00AC441D"/>
    <w:rsid w:val="00AC5888"/>
    <w:rsid w:val="00AC5988"/>
    <w:rsid w:val="00AC59DD"/>
    <w:rsid w:val="00AC5E5E"/>
    <w:rsid w:val="00AC63B8"/>
    <w:rsid w:val="00AC74EC"/>
    <w:rsid w:val="00AD050E"/>
    <w:rsid w:val="00AD138A"/>
    <w:rsid w:val="00AD2A51"/>
    <w:rsid w:val="00AD3339"/>
    <w:rsid w:val="00AD66CF"/>
    <w:rsid w:val="00AD6FF2"/>
    <w:rsid w:val="00AD7610"/>
    <w:rsid w:val="00AE64DC"/>
    <w:rsid w:val="00AE6702"/>
    <w:rsid w:val="00AE673E"/>
    <w:rsid w:val="00AE7807"/>
    <w:rsid w:val="00AE7B57"/>
    <w:rsid w:val="00AF063E"/>
    <w:rsid w:val="00AF0D8B"/>
    <w:rsid w:val="00AF27B7"/>
    <w:rsid w:val="00AF2C44"/>
    <w:rsid w:val="00AF2DEC"/>
    <w:rsid w:val="00AF30F6"/>
    <w:rsid w:val="00AF36F6"/>
    <w:rsid w:val="00AF58A1"/>
    <w:rsid w:val="00AF5DA8"/>
    <w:rsid w:val="00AF6220"/>
    <w:rsid w:val="00B002A2"/>
    <w:rsid w:val="00B007D0"/>
    <w:rsid w:val="00B00922"/>
    <w:rsid w:val="00B00FDE"/>
    <w:rsid w:val="00B01962"/>
    <w:rsid w:val="00B0372C"/>
    <w:rsid w:val="00B0667C"/>
    <w:rsid w:val="00B06882"/>
    <w:rsid w:val="00B0706A"/>
    <w:rsid w:val="00B073FA"/>
    <w:rsid w:val="00B100C0"/>
    <w:rsid w:val="00B1014A"/>
    <w:rsid w:val="00B12204"/>
    <w:rsid w:val="00B129A9"/>
    <w:rsid w:val="00B12C49"/>
    <w:rsid w:val="00B1309A"/>
    <w:rsid w:val="00B13453"/>
    <w:rsid w:val="00B146E4"/>
    <w:rsid w:val="00B15432"/>
    <w:rsid w:val="00B17DB9"/>
    <w:rsid w:val="00B212DC"/>
    <w:rsid w:val="00B23242"/>
    <w:rsid w:val="00B2591C"/>
    <w:rsid w:val="00B2730C"/>
    <w:rsid w:val="00B30D1C"/>
    <w:rsid w:val="00B316B6"/>
    <w:rsid w:val="00B316D1"/>
    <w:rsid w:val="00B32804"/>
    <w:rsid w:val="00B34EAF"/>
    <w:rsid w:val="00B35E52"/>
    <w:rsid w:val="00B36BC4"/>
    <w:rsid w:val="00B37255"/>
    <w:rsid w:val="00B37983"/>
    <w:rsid w:val="00B37B35"/>
    <w:rsid w:val="00B37D50"/>
    <w:rsid w:val="00B4057A"/>
    <w:rsid w:val="00B41E85"/>
    <w:rsid w:val="00B42A55"/>
    <w:rsid w:val="00B42D74"/>
    <w:rsid w:val="00B42F33"/>
    <w:rsid w:val="00B440FE"/>
    <w:rsid w:val="00B45B54"/>
    <w:rsid w:val="00B45FB6"/>
    <w:rsid w:val="00B4615D"/>
    <w:rsid w:val="00B510FB"/>
    <w:rsid w:val="00B5151F"/>
    <w:rsid w:val="00B526DB"/>
    <w:rsid w:val="00B52F73"/>
    <w:rsid w:val="00B54BC1"/>
    <w:rsid w:val="00B55874"/>
    <w:rsid w:val="00B5698A"/>
    <w:rsid w:val="00B56A94"/>
    <w:rsid w:val="00B5723A"/>
    <w:rsid w:val="00B57883"/>
    <w:rsid w:val="00B61428"/>
    <w:rsid w:val="00B6169A"/>
    <w:rsid w:val="00B61C33"/>
    <w:rsid w:val="00B63B1F"/>
    <w:rsid w:val="00B65517"/>
    <w:rsid w:val="00B65EC7"/>
    <w:rsid w:val="00B71140"/>
    <w:rsid w:val="00B732B4"/>
    <w:rsid w:val="00B73BF6"/>
    <w:rsid w:val="00B75621"/>
    <w:rsid w:val="00B75665"/>
    <w:rsid w:val="00B75FEA"/>
    <w:rsid w:val="00B7635C"/>
    <w:rsid w:val="00B80510"/>
    <w:rsid w:val="00B80D6E"/>
    <w:rsid w:val="00B81961"/>
    <w:rsid w:val="00B821CD"/>
    <w:rsid w:val="00B840EA"/>
    <w:rsid w:val="00B8434F"/>
    <w:rsid w:val="00B847FD"/>
    <w:rsid w:val="00B84C4B"/>
    <w:rsid w:val="00B85043"/>
    <w:rsid w:val="00B856CC"/>
    <w:rsid w:val="00B861BB"/>
    <w:rsid w:val="00B87BE8"/>
    <w:rsid w:val="00B87C08"/>
    <w:rsid w:val="00B914DC"/>
    <w:rsid w:val="00B92B36"/>
    <w:rsid w:val="00B92D78"/>
    <w:rsid w:val="00B93696"/>
    <w:rsid w:val="00BA2AF2"/>
    <w:rsid w:val="00BA37B8"/>
    <w:rsid w:val="00BA3874"/>
    <w:rsid w:val="00BA4EF2"/>
    <w:rsid w:val="00BA4F8B"/>
    <w:rsid w:val="00BA603F"/>
    <w:rsid w:val="00BA640A"/>
    <w:rsid w:val="00BA646B"/>
    <w:rsid w:val="00BA6A2A"/>
    <w:rsid w:val="00BB0C26"/>
    <w:rsid w:val="00BB1123"/>
    <w:rsid w:val="00BB1E40"/>
    <w:rsid w:val="00BB392E"/>
    <w:rsid w:val="00BB432F"/>
    <w:rsid w:val="00BB47F6"/>
    <w:rsid w:val="00BB535F"/>
    <w:rsid w:val="00BB54BE"/>
    <w:rsid w:val="00BB5841"/>
    <w:rsid w:val="00BB5B28"/>
    <w:rsid w:val="00BB5CF9"/>
    <w:rsid w:val="00BB5E2D"/>
    <w:rsid w:val="00BB6375"/>
    <w:rsid w:val="00BB643F"/>
    <w:rsid w:val="00BB730B"/>
    <w:rsid w:val="00BB7CFA"/>
    <w:rsid w:val="00BC0190"/>
    <w:rsid w:val="00BC0C05"/>
    <w:rsid w:val="00BC2FA6"/>
    <w:rsid w:val="00BC4B98"/>
    <w:rsid w:val="00BC51DC"/>
    <w:rsid w:val="00BC55B1"/>
    <w:rsid w:val="00BC6344"/>
    <w:rsid w:val="00BD1190"/>
    <w:rsid w:val="00BD154E"/>
    <w:rsid w:val="00BD1B66"/>
    <w:rsid w:val="00BD1C13"/>
    <w:rsid w:val="00BD2EE7"/>
    <w:rsid w:val="00BD3DD7"/>
    <w:rsid w:val="00BD6485"/>
    <w:rsid w:val="00BD6B70"/>
    <w:rsid w:val="00BD734C"/>
    <w:rsid w:val="00BD7FCC"/>
    <w:rsid w:val="00BE012D"/>
    <w:rsid w:val="00BE0153"/>
    <w:rsid w:val="00BE347E"/>
    <w:rsid w:val="00BE507A"/>
    <w:rsid w:val="00BE5D6B"/>
    <w:rsid w:val="00BE5F06"/>
    <w:rsid w:val="00BE6EDD"/>
    <w:rsid w:val="00BE70D3"/>
    <w:rsid w:val="00BE72BE"/>
    <w:rsid w:val="00BF2BC7"/>
    <w:rsid w:val="00BF4349"/>
    <w:rsid w:val="00BF4674"/>
    <w:rsid w:val="00BF548C"/>
    <w:rsid w:val="00BF5FD5"/>
    <w:rsid w:val="00BF6B18"/>
    <w:rsid w:val="00BF7479"/>
    <w:rsid w:val="00BF7B51"/>
    <w:rsid w:val="00BF7FC3"/>
    <w:rsid w:val="00C007C0"/>
    <w:rsid w:val="00C00D5F"/>
    <w:rsid w:val="00C00E1D"/>
    <w:rsid w:val="00C02050"/>
    <w:rsid w:val="00C0353E"/>
    <w:rsid w:val="00C043AB"/>
    <w:rsid w:val="00C043F8"/>
    <w:rsid w:val="00C06E92"/>
    <w:rsid w:val="00C07050"/>
    <w:rsid w:val="00C07778"/>
    <w:rsid w:val="00C0778C"/>
    <w:rsid w:val="00C12640"/>
    <w:rsid w:val="00C14AE3"/>
    <w:rsid w:val="00C14E2E"/>
    <w:rsid w:val="00C208E9"/>
    <w:rsid w:val="00C21798"/>
    <w:rsid w:val="00C22A2F"/>
    <w:rsid w:val="00C22B00"/>
    <w:rsid w:val="00C250F0"/>
    <w:rsid w:val="00C257A7"/>
    <w:rsid w:val="00C2784A"/>
    <w:rsid w:val="00C27DD7"/>
    <w:rsid w:val="00C27F7A"/>
    <w:rsid w:val="00C30645"/>
    <w:rsid w:val="00C30B6D"/>
    <w:rsid w:val="00C31173"/>
    <w:rsid w:val="00C31B82"/>
    <w:rsid w:val="00C32712"/>
    <w:rsid w:val="00C32D0C"/>
    <w:rsid w:val="00C334A4"/>
    <w:rsid w:val="00C337D2"/>
    <w:rsid w:val="00C3406B"/>
    <w:rsid w:val="00C349FC"/>
    <w:rsid w:val="00C3599A"/>
    <w:rsid w:val="00C36E98"/>
    <w:rsid w:val="00C36ECE"/>
    <w:rsid w:val="00C37851"/>
    <w:rsid w:val="00C40E0A"/>
    <w:rsid w:val="00C426E7"/>
    <w:rsid w:val="00C42B5A"/>
    <w:rsid w:val="00C45007"/>
    <w:rsid w:val="00C50E03"/>
    <w:rsid w:val="00C511C7"/>
    <w:rsid w:val="00C51CA8"/>
    <w:rsid w:val="00C52B10"/>
    <w:rsid w:val="00C53EC2"/>
    <w:rsid w:val="00C54732"/>
    <w:rsid w:val="00C549F8"/>
    <w:rsid w:val="00C54EC6"/>
    <w:rsid w:val="00C57745"/>
    <w:rsid w:val="00C57E85"/>
    <w:rsid w:val="00C60B68"/>
    <w:rsid w:val="00C61002"/>
    <w:rsid w:val="00C6199B"/>
    <w:rsid w:val="00C61C9A"/>
    <w:rsid w:val="00C63C37"/>
    <w:rsid w:val="00C640AB"/>
    <w:rsid w:val="00C64332"/>
    <w:rsid w:val="00C65080"/>
    <w:rsid w:val="00C65F27"/>
    <w:rsid w:val="00C66489"/>
    <w:rsid w:val="00C667E9"/>
    <w:rsid w:val="00C66CA9"/>
    <w:rsid w:val="00C66DE5"/>
    <w:rsid w:val="00C70280"/>
    <w:rsid w:val="00C7090E"/>
    <w:rsid w:val="00C70C6E"/>
    <w:rsid w:val="00C7218F"/>
    <w:rsid w:val="00C72E5B"/>
    <w:rsid w:val="00C73AC6"/>
    <w:rsid w:val="00C73CC3"/>
    <w:rsid w:val="00C75157"/>
    <w:rsid w:val="00C76016"/>
    <w:rsid w:val="00C76309"/>
    <w:rsid w:val="00C763F3"/>
    <w:rsid w:val="00C7753E"/>
    <w:rsid w:val="00C80362"/>
    <w:rsid w:val="00C80411"/>
    <w:rsid w:val="00C809C3"/>
    <w:rsid w:val="00C8148C"/>
    <w:rsid w:val="00C819A4"/>
    <w:rsid w:val="00C82377"/>
    <w:rsid w:val="00C823D1"/>
    <w:rsid w:val="00C8258B"/>
    <w:rsid w:val="00C83814"/>
    <w:rsid w:val="00C83A88"/>
    <w:rsid w:val="00C86FB2"/>
    <w:rsid w:val="00C87818"/>
    <w:rsid w:val="00C90087"/>
    <w:rsid w:val="00C9027A"/>
    <w:rsid w:val="00C90336"/>
    <w:rsid w:val="00C909E5"/>
    <w:rsid w:val="00C9133B"/>
    <w:rsid w:val="00C9179A"/>
    <w:rsid w:val="00C91A9D"/>
    <w:rsid w:val="00C92AD2"/>
    <w:rsid w:val="00C94676"/>
    <w:rsid w:val="00C95EBC"/>
    <w:rsid w:val="00C963D8"/>
    <w:rsid w:val="00CA0961"/>
    <w:rsid w:val="00CA0EC0"/>
    <w:rsid w:val="00CA2AD3"/>
    <w:rsid w:val="00CA4CB8"/>
    <w:rsid w:val="00CA60BF"/>
    <w:rsid w:val="00CA727F"/>
    <w:rsid w:val="00CA734B"/>
    <w:rsid w:val="00CB225B"/>
    <w:rsid w:val="00CB7089"/>
    <w:rsid w:val="00CC0283"/>
    <w:rsid w:val="00CC097B"/>
    <w:rsid w:val="00CC0CCD"/>
    <w:rsid w:val="00CC0E0E"/>
    <w:rsid w:val="00CC0E97"/>
    <w:rsid w:val="00CC1D35"/>
    <w:rsid w:val="00CC1EDC"/>
    <w:rsid w:val="00CC28EF"/>
    <w:rsid w:val="00CC2B77"/>
    <w:rsid w:val="00CC2C94"/>
    <w:rsid w:val="00CC38EC"/>
    <w:rsid w:val="00CC44D9"/>
    <w:rsid w:val="00CC6F68"/>
    <w:rsid w:val="00CD0814"/>
    <w:rsid w:val="00CD0A25"/>
    <w:rsid w:val="00CD0D21"/>
    <w:rsid w:val="00CD15DD"/>
    <w:rsid w:val="00CD319A"/>
    <w:rsid w:val="00CD34DB"/>
    <w:rsid w:val="00CD5DA5"/>
    <w:rsid w:val="00CD642A"/>
    <w:rsid w:val="00CD6674"/>
    <w:rsid w:val="00CD7BD0"/>
    <w:rsid w:val="00CD7BD8"/>
    <w:rsid w:val="00CE033A"/>
    <w:rsid w:val="00CE22FE"/>
    <w:rsid w:val="00CE277A"/>
    <w:rsid w:val="00CE438B"/>
    <w:rsid w:val="00CE5141"/>
    <w:rsid w:val="00CE5882"/>
    <w:rsid w:val="00CF0584"/>
    <w:rsid w:val="00CF0938"/>
    <w:rsid w:val="00CF0A60"/>
    <w:rsid w:val="00CF30DF"/>
    <w:rsid w:val="00CF4603"/>
    <w:rsid w:val="00CF47F3"/>
    <w:rsid w:val="00CF4B8B"/>
    <w:rsid w:val="00CF503B"/>
    <w:rsid w:val="00CF5191"/>
    <w:rsid w:val="00CF5365"/>
    <w:rsid w:val="00D00F76"/>
    <w:rsid w:val="00D0206E"/>
    <w:rsid w:val="00D0215C"/>
    <w:rsid w:val="00D02732"/>
    <w:rsid w:val="00D02B94"/>
    <w:rsid w:val="00D03464"/>
    <w:rsid w:val="00D03535"/>
    <w:rsid w:val="00D05327"/>
    <w:rsid w:val="00D059E3"/>
    <w:rsid w:val="00D065C6"/>
    <w:rsid w:val="00D06FF0"/>
    <w:rsid w:val="00D117D6"/>
    <w:rsid w:val="00D12AA2"/>
    <w:rsid w:val="00D12B12"/>
    <w:rsid w:val="00D13FD4"/>
    <w:rsid w:val="00D15147"/>
    <w:rsid w:val="00D154B9"/>
    <w:rsid w:val="00D16617"/>
    <w:rsid w:val="00D20037"/>
    <w:rsid w:val="00D22517"/>
    <w:rsid w:val="00D24D4A"/>
    <w:rsid w:val="00D257A7"/>
    <w:rsid w:val="00D2740A"/>
    <w:rsid w:val="00D3022A"/>
    <w:rsid w:val="00D321E7"/>
    <w:rsid w:val="00D34199"/>
    <w:rsid w:val="00D34CCB"/>
    <w:rsid w:val="00D35AA5"/>
    <w:rsid w:val="00D35C94"/>
    <w:rsid w:val="00D36CF3"/>
    <w:rsid w:val="00D374F0"/>
    <w:rsid w:val="00D4014A"/>
    <w:rsid w:val="00D411D3"/>
    <w:rsid w:val="00D41B9B"/>
    <w:rsid w:val="00D41FA8"/>
    <w:rsid w:val="00D42085"/>
    <w:rsid w:val="00D43470"/>
    <w:rsid w:val="00D44D8C"/>
    <w:rsid w:val="00D44F2F"/>
    <w:rsid w:val="00D45856"/>
    <w:rsid w:val="00D4628C"/>
    <w:rsid w:val="00D4676D"/>
    <w:rsid w:val="00D50BA5"/>
    <w:rsid w:val="00D519B8"/>
    <w:rsid w:val="00D51D4C"/>
    <w:rsid w:val="00D51F3B"/>
    <w:rsid w:val="00D51FF3"/>
    <w:rsid w:val="00D55533"/>
    <w:rsid w:val="00D55BCD"/>
    <w:rsid w:val="00D56231"/>
    <w:rsid w:val="00D57502"/>
    <w:rsid w:val="00D57A30"/>
    <w:rsid w:val="00D62B3B"/>
    <w:rsid w:val="00D635DC"/>
    <w:rsid w:val="00D65619"/>
    <w:rsid w:val="00D6712C"/>
    <w:rsid w:val="00D71288"/>
    <w:rsid w:val="00D71673"/>
    <w:rsid w:val="00D727F3"/>
    <w:rsid w:val="00D732BA"/>
    <w:rsid w:val="00D754E1"/>
    <w:rsid w:val="00D77143"/>
    <w:rsid w:val="00D776E3"/>
    <w:rsid w:val="00D7784F"/>
    <w:rsid w:val="00D80456"/>
    <w:rsid w:val="00D809CA"/>
    <w:rsid w:val="00D817F7"/>
    <w:rsid w:val="00D821F5"/>
    <w:rsid w:val="00D83F23"/>
    <w:rsid w:val="00D84222"/>
    <w:rsid w:val="00D84B1A"/>
    <w:rsid w:val="00D870B8"/>
    <w:rsid w:val="00D9141D"/>
    <w:rsid w:val="00D92CAB"/>
    <w:rsid w:val="00D9357F"/>
    <w:rsid w:val="00D93944"/>
    <w:rsid w:val="00D94112"/>
    <w:rsid w:val="00D9495E"/>
    <w:rsid w:val="00D95336"/>
    <w:rsid w:val="00D953B5"/>
    <w:rsid w:val="00D95F29"/>
    <w:rsid w:val="00D97FD2"/>
    <w:rsid w:val="00DA0541"/>
    <w:rsid w:val="00DA2191"/>
    <w:rsid w:val="00DA313B"/>
    <w:rsid w:val="00DA3F5D"/>
    <w:rsid w:val="00DA43B8"/>
    <w:rsid w:val="00DA4584"/>
    <w:rsid w:val="00DA7B44"/>
    <w:rsid w:val="00DB1006"/>
    <w:rsid w:val="00DB128E"/>
    <w:rsid w:val="00DB15F5"/>
    <w:rsid w:val="00DB3E1A"/>
    <w:rsid w:val="00DB4F82"/>
    <w:rsid w:val="00DB53FE"/>
    <w:rsid w:val="00DB550C"/>
    <w:rsid w:val="00DB5789"/>
    <w:rsid w:val="00DB6775"/>
    <w:rsid w:val="00DB73CA"/>
    <w:rsid w:val="00DB7560"/>
    <w:rsid w:val="00DC01E1"/>
    <w:rsid w:val="00DC064C"/>
    <w:rsid w:val="00DC0E51"/>
    <w:rsid w:val="00DC16B0"/>
    <w:rsid w:val="00DC18B4"/>
    <w:rsid w:val="00DC1D95"/>
    <w:rsid w:val="00DC284C"/>
    <w:rsid w:val="00DC2CE3"/>
    <w:rsid w:val="00DC33B8"/>
    <w:rsid w:val="00DC3493"/>
    <w:rsid w:val="00DC3EC2"/>
    <w:rsid w:val="00DC4332"/>
    <w:rsid w:val="00DC4428"/>
    <w:rsid w:val="00DC7E35"/>
    <w:rsid w:val="00DD126F"/>
    <w:rsid w:val="00DD2E33"/>
    <w:rsid w:val="00DD30DF"/>
    <w:rsid w:val="00DD3306"/>
    <w:rsid w:val="00DD3A45"/>
    <w:rsid w:val="00DD413E"/>
    <w:rsid w:val="00DD483C"/>
    <w:rsid w:val="00DD6997"/>
    <w:rsid w:val="00DD7601"/>
    <w:rsid w:val="00DE0DB4"/>
    <w:rsid w:val="00DE1091"/>
    <w:rsid w:val="00DE14DD"/>
    <w:rsid w:val="00DE3A0B"/>
    <w:rsid w:val="00DE3B81"/>
    <w:rsid w:val="00DE3F6D"/>
    <w:rsid w:val="00DE4353"/>
    <w:rsid w:val="00DE5212"/>
    <w:rsid w:val="00DE6E22"/>
    <w:rsid w:val="00DF13E4"/>
    <w:rsid w:val="00DF1598"/>
    <w:rsid w:val="00DF1E5E"/>
    <w:rsid w:val="00DF2771"/>
    <w:rsid w:val="00DF6909"/>
    <w:rsid w:val="00DF711E"/>
    <w:rsid w:val="00DF7360"/>
    <w:rsid w:val="00E01B06"/>
    <w:rsid w:val="00E01B11"/>
    <w:rsid w:val="00E03966"/>
    <w:rsid w:val="00E06BB2"/>
    <w:rsid w:val="00E07B5A"/>
    <w:rsid w:val="00E10296"/>
    <w:rsid w:val="00E117DD"/>
    <w:rsid w:val="00E12DD6"/>
    <w:rsid w:val="00E148A4"/>
    <w:rsid w:val="00E14EBA"/>
    <w:rsid w:val="00E1612B"/>
    <w:rsid w:val="00E162A2"/>
    <w:rsid w:val="00E16B4C"/>
    <w:rsid w:val="00E16B9F"/>
    <w:rsid w:val="00E17694"/>
    <w:rsid w:val="00E176B4"/>
    <w:rsid w:val="00E17C2D"/>
    <w:rsid w:val="00E20ADA"/>
    <w:rsid w:val="00E2187F"/>
    <w:rsid w:val="00E22C5B"/>
    <w:rsid w:val="00E23CB9"/>
    <w:rsid w:val="00E246D7"/>
    <w:rsid w:val="00E27C72"/>
    <w:rsid w:val="00E30D1F"/>
    <w:rsid w:val="00E31617"/>
    <w:rsid w:val="00E31C78"/>
    <w:rsid w:val="00E32769"/>
    <w:rsid w:val="00E332D5"/>
    <w:rsid w:val="00E34973"/>
    <w:rsid w:val="00E36884"/>
    <w:rsid w:val="00E378BF"/>
    <w:rsid w:val="00E402BD"/>
    <w:rsid w:val="00E42F6B"/>
    <w:rsid w:val="00E45A51"/>
    <w:rsid w:val="00E45CB2"/>
    <w:rsid w:val="00E479EF"/>
    <w:rsid w:val="00E47F52"/>
    <w:rsid w:val="00E504C3"/>
    <w:rsid w:val="00E50588"/>
    <w:rsid w:val="00E505B0"/>
    <w:rsid w:val="00E50B16"/>
    <w:rsid w:val="00E51D72"/>
    <w:rsid w:val="00E52152"/>
    <w:rsid w:val="00E53120"/>
    <w:rsid w:val="00E535AD"/>
    <w:rsid w:val="00E53A27"/>
    <w:rsid w:val="00E53C4B"/>
    <w:rsid w:val="00E53D92"/>
    <w:rsid w:val="00E543B3"/>
    <w:rsid w:val="00E54B84"/>
    <w:rsid w:val="00E561C8"/>
    <w:rsid w:val="00E57369"/>
    <w:rsid w:val="00E61460"/>
    <w:rsid w:val="00E62003"/>
    <w:rsid w:val="00E620D5"/>
    <w:rsid w:val="00E62241"/>
    <w:rsid w:val="00E6280A"/>
    <w:rsid w:val="00E629CC"/>
    <w:rsid w:val="00E63CDE"/>
    <w:rsid w:val="00E644F9"/>
    <w:rsid w:val="00E64882"/>
    <w:rsid w:val="00E65091"/>
    <w:rsid w:val="00E659E1"/>
    <w:rsid w:val="00E673E9"/>
    <w:rsid w:val="00E71BB8"/>
    <w:rsid w:val="00E731A7"/>
    <w:rsid w:val="00E73E46"/>
    <w:rsid w:val="00E74A57"/>
    <w:rsid w:val="00E75694"/>
    <w:rsid w:val="00E75A23"/>
    <w:rsid w:val="00E75BC6"/>
    <w:rsid w:val="00E77725"/>
    <w:rsid w:val="00E77E7F"/>
    <w:rsid w:val="00E77FC3"/>
    <w:rsid w:val="00E80501"/>
    <w:rsid w:val="00E80F37"/>
    <w:rsid w:val="00E83127"/>
    <w:rsid w:val="00E849E7"/>
    <w:rsid w:val="00E85C59"/>
    <w:rsid w:val="00E867C0"/>
    <w:rsid w:val="00E87BE3"/>
    <w:rsid w:val="00E90A45"/>
    <w:rsid w:val="00E90FD0"/>
    <w:rsid w:val="00E910C2"/>
    <w:rsid w:val="00E912E6"/>
    <w:rsid w:val="00E91451"/>
    <w:rsid w:val="00E91E66"/>
    <w:rsid w:val="00E923A1"/>
    <w:rsid w:val="00E924FF"/>
    <w:rsid w:val="00E92802"/>
    <w:rsid w:val="00E92C8A"/>
    <w:rsid w:val="00E93673"/>
    <w:rsid w:val="00E95CCC"/>
    <w:rsid w:val="00E978EF"/>
    <w:rsid w:val="00EA01FB"/>
    <w:rsid w:val="00EA18E0"/>
    <w:rsid w:val="00EA23A5"/>
    <w:rsid w:val="00EA34C3"/>
    <w:rsid w:val="00EA4590"/>
    <w:rsid w:val="00EA5E7E"/>
    <w:rsid w:val="00EB0E80"/>
    <w:rsid w:val="00EB0FFE"/>
    <w:rsid w:val="00EB2AD4"/>
    <w:rsid w:val="00EB2D00"/>
    <w:rsid w:val="00EB3827"/>
    <w:rsid w:val="00EB3BFB"/>
    <w:rsid w:val="00EB428E"/>
    <w:rsid w:val="00EB4B0E"/>
    <w:rsid w:val="00EB553A"/>
    <w:rsid w:val="00EB78F8"/>
    <w:rsid w:val="00EB7ACC"/>
    <w:rsid w:val="00EC008E"/>
    <w:rsid w:val="00EC1819"/>
    <w:rsid w:val="00EC27FA"/>
    <w:rsid w:val="00EC2BA0"/>
    <w:rsid w:val="00EC4285"/>
    <w:rsid w:val="00EC5053"/>
    <w:rsid w:val="00EC673C"/>
    <w:rsid w:val="00ED0197"/>
    <w:rsid w:val="00ED1ABE"/>
    <w:rsid w:val="00ED1F53"/>
    <w:rsid w:val="00ED2C26"/>
    <w:rsid w:val="00ED3B36"/>
    <w:rsid w:val="00ED4798"/>
    <w:rsid w:val="00ED5F49"/>
    <w:rsid w:val="00ED62C0"/>
    <w:rsid w:val="00ED640C"/>
    <w:rsid w:val="00ED7654"/>
    <w:rsid w:val="00EE0AC1"/>
    <w:rsid w:val="00EE1742"/>
    <w:rsid w:val="00EE20AB"/>
    <w:rsid w:val="00EE3EF6"/>
    <w:rsid w:val="00EE451A"/>
    <w:rsid w:val="00EE53C0"/>
    <w:rsid w:val="00EE583D"/>
    <w:rsid w:val="00EE5BA9"/>
    <w:rsid w:val="00EE5DD1"/>
    <w:rsid w:val="00EE60F7"/>
    <w:rsid w:val="00EE6F4F"/>
    <w:rsid w:val="00EE70AE"/>
    <w:rsid w:val="00EF1854"/>
    <w:rsid w:val="00EF2294"/>
    <w:rsid w:val="00EF22DB"/>
    <w:rsid w:val="00EF29C4"/>
    <w:rsid w:val="00EF459C"/>
    <w:rsid w:val="00EF45E8"/>
    <w:rsid w:val="00EF51A9"/>
    <w:rsid w:val="00EF5328"/>
    <w:rsid w:val="00EF64A5"/>
    <w:rsid w:val="00EF7417"/>
    <w:rsid w:val="00F0013F"/>
    <w:rsid w:val="00F02464"/>
    <w:rsid w:val="00F034C0"/>
    <w:rsid w:val="00F036F1"/>
    <w:rsid w:val="00F04054"/>
    <w:rsid w:val="00F04993"/>
    <w:rsid w:val="00F06553"/>
    <w:rsid w:val="00F07934"/>
    <w:rsid w:val="00F07C4E"/>
    <w:rsid w:val="00F10CCF"/>
    <w:rsid w:val="00F1172F"/>
    <w:rsid w:val="00F13195"/>
    <w:rsid w:val="00F13446"/>
    <w:rsid w:val="00F14E04"/>
    <w:rsid w:val="00F1512B"/>
    <w:rsid w:val="00F15B08"/>
    <w:rsid w:val="00F15B70"/>
    <w:rsid w:val="00F20353"/>
    <w:rsid w:val="00F21CFA"/>
    <w:rsid w:val="00F23B58"/>
    <w:rsid w:val="00F24594"/>
    <w:rsid w:val="00F246C3"/>
    <w:rsid w:val="00F24B0A"/>
    <w:rsid w:val="00F25A7D"/>
    <w:rsid w:val="00F27230"/>
    <w:rsid w:val="00F300D2"/>
    <w:rsid w:val="00F32ACB"/>
    <w:rsid w:val="00F32F46"/>
    <w:rsid w:val="00F3575E"/>
    <w:rsid w:val="00F3793A"/>
    <w:rsid w:val="00F415F7"/>
    <w:rsid w:val="00F41B6E"/>
    <w:rsid w:val="00F443E2"/>
    <w:rsid w:val="00F474C2"/>
    <w:rsid w:val="00F50D8D"/>
    <w:rsid w:val="00F51968"/>
    <w:rsid w:val="00F522AC"/>
    <w:rsid w:val="00F564DF"/>
    <w:rsid w:val="00F5719C"/>
    <w:rsid w:val="00F602A8"/>
    <w:rsid w:val="00F61E0E"/>
    <w:rsid w:val="00F6229C"/>
    <w:rsid w:val="00F63264"/>
    <w:rsid w:val="00F644ED"/>
    <w:rsid w:val="00F646FA"/>
    <w:rsid w:val="00F64AB7"/>
    <w:rsid w:val="00F65301"/>
    <w:rsid w:val="00F65425"/>
    <w:rsid w:val="00F65661"/>
    <w:rsid w:val="00F66494"/>
    <w:rsid w:val="00F669C2"/>
    <w:rsid w:val="00F677E6"/>
    <w:rsid w:val="00F7061E"/>
    <w:rsid w:val="00F7115B"/>
    <w:rsid w:val="00F713FD"/>
    <w:rsid w:val="00F71854"/>
    <w:rsid w:val="00F72465"/>
    <w:rsid w:val="00F72A68"/>
    <w:rsid w:val="00F73AB2"/>
    <w:rsid w:val="00F75061"/>
    <w:rsid w:val="00F75D2B"/>
    <w:rsid w:val="00F82D9F"/>
    <w:rsid w:val="00F82FAD"/>
    <w:rsid w:val="00F83B5F"/>
    <w:rsid w:val="00F83F19"/>
    <w:rsid w:val="00F84B4D"/>
    <w:rsid w:val="00F85390"/>
    <w:rsid w:val="00F85899"/>
    <w:rsid w:val="00F858C0"/>
    <w:rsid w:val="00F9041B"/>
    <w:rsid w:val="00F90B60"/>
    <w:rsid w:val="00F92C73"/>
    <w:rsid w:val="00F92EF2"/>
    <w:rsid w:val="00F9381A"/>
    <w:rsid w:val="00F93F72"/>
    <w:rsid w:val="00F9465D"/>
    <w:rsid w:val="00F958EE"/>
    <w:rsid w:val="00F9597C"/>
    <w:rsid w:val="00F95EDB"/>
    <w:rsid w:val="00F9634B"/>
    <w:rsid w:val="00F9761D"/>
    <w:rsid w:val="00FA0255"/>
    <w:rsid w:val="00FA0566"/>
    <w:rsid w:val="00FA11A9"/>
    <w:rsid w:val="00FA18E4"/>
    <w:rsid w:val="00FA47DD"/>
    <w:rsid w:val="00FA7240"/>
    <w:rsid w:val="00FA7E7E"/>
    <w:rsid w:val="00FB0595"/>
    <w:rsid w:val="00FB17A3"/>
    <w:rsid w:val="00FB266C"/>
    <w:rsid w:val="00FB3A4D"/>
    <w:rsid w:val="00FB3AD1"/>
    <w:rsid w:val="00FB41A6"/>
    <w:rsid w:val="00FB4297"/>
    <w:rsid w:val="00FB63AC"/>
    <w:rsid w:val="00FB6462"/>
    <w:rsid w:val="00FB755C"/>
    <w:rsid w:val="00FB77F0"/>
    <w:rsid w:val="00FB7E3D"/>
    <w:rsid w:val="00FC0D1E"/>
    <w:rsid w:val="00FC0EE0"/>
    <w:rsid w:val="00FC1043"/>
    <w:rsid w:val="00FC2185"/>
    <w:rsid w:val="00FC34D3"/>
    <w:rsid w:val="00FC44BB"/>
    <w:rsid w:val="00FC46A0"/>
    <w:rsid w:val="00FC77A5"/>
    <w:rsid w:val="00FD143B"/>
    <w:rsid w:val="00FD2C40"/>
    <w:rsid w:val="00FD2DD8"/>
    <w:rsid w:val="00FD3465"/>
    <w:rsid w:val="00FD3B32"/>
    <w:rsid w:val="00FD3C0A"/>
    <w:rsid w:val="00FD7C0E"/>
    <w:rsid w:val="00FE064C"/>
    <w:rsid w:val="00FE2964"/>
    <w:rsid w:val="00FE4550"/>
    <w:rsid w:val="00FE4C51"/>
    <w:rsid w:val="00FE524A"/>
    <w:rsid w:val="00FF0194"/>
    <w:rsid w:val="00FF0379"/>
    <w:rsid w:val="00FF055C"/>
    <w:rsid w:val="00FF1F06"/>
    <w:rsid w:val="00FF3255"/>
    <w:rsid w:val="00FF3FE7"/>
    <w:rsid w:val="00FF499D"/>
    <w:rsid w:val="00FF5C61"/>
    <w:rsid w:val="00FF5FA5"/>
    <w:rsid w:val="00FF626F"/>
    <w:rsid w:val="00FF664E"/>
    <w:rsid w:val="00FF71F3"/>
    <w:rsid w:val="00FF79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74A1"/>
  <w15:chartTrackingRefBased/>
  <w15:docId w15:val="{CE3C04D9-6D72-4EB1-AF48-2557620D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4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4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4C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4C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4C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74C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4C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4C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4C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4C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4C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4C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4C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4C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4C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4C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4C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4C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4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4C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4C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4C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4C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4CD2"/>
    <w:rPr>
      <w:i/>
      <w:iCs/>
      <w:color w:val="404040" w:themeColor="text1" w:themeTint="BF"/>
    </w:rPr>
  </w:style>
  <w:style w:type="paragraph" w:styleId="Sraopastraipa">
    <w:name w:val="List Paragraph"/>
    <w:basedOn w:val="prastasis"/>
    <w:uiPriority w:val="34"/>
    <w:qFormat/>
    <w:rsid w:val="00274CD2"/>
    <w:pPr>
      <w:ind w:left="720"/>
      <w:contextualSpacing/>
    </w:pPr>
  </w:style>
  <w:style w:type="character" w:styleId="Rykuspabraukimas">
    <w:name w:val="Intense Emphasis"/>
    <w:basedOn w:val="Numatytasispastraiposriftas"/>
    <w:uiPriority w:val="21"/>
    <w:qFormat/>
    <w:rsid w:val="00274CD2"/>
    <w:rPr>
      <w:i/>
      <w:iCs/>
      <w:color w:val="0F4761" w:themeColor="accent1" w:themeShade="BF"/>
    </w:rPr>
  </w:style>
  <w:style w:type="paragraph" w:styleId="Iskirtacitata">
    <w:name w:val="Intense Quote"/>
    <w:basedOn w:val="prastasis"/>
    <w:next w:val="prastasis"/>
    <w:link w:val="IskirtacitataDiagrama"/>
    <w:uiPriority w:val="30"/>
    <w:qFormat/>
    <w:rsid w:val="00274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4CD2"/>
    <w:rPr>
      <w:i/>
      <w:iCs/>
      <w:color w:val="0F4761" w:themeColor="accent1" w:themeShade="BF"/>
    </w:rPr>
  </w:style>
  <w:style w:type="character" w:styleId="Rykinuoroda">
    <w:name w:val="Intense Reference"/>
    <w:basedOn w:val="Numatytasispastraiposriftas"/>
    <w:uiPriority w:val="32"/>
    <w:qFormat/>
    <w:rsid w:val="00274CD2"/>
    <w:rPr>
      <w:b/>
      <w:bCs/>
      <w:smallCaps/>
      <w:color w:val="0F4761" w:themeColor="accent1" w:themeShade="BF"/>
      <w:spacing w:val="5"/>
    </w:rPr>
  </w:style>
  <w:style w:type="table" w:styleId="Lentelstinklelis">
    <w:name w:val="Table Grid"/>
    <w:basedOn w:val="prastojilentel"/>
    <w:uiPriority w:val="39"/>
    <w:rsid w:val="0095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626F"/>
    <w:pPr>
      <w:spacing w:after="0" w:line="240" w:lineRule="auto"/>
    </w:pPr>
    <w:rPr>
      <w:rFonts w:eastAsiaTheme="minorEastAsia"/>
      <w:kern w:val="0"/>
      <w:sz w:val="22"/>
      <w:szCs w:val="22"/>
      <w:lang w:eastAsia="lt-LT"/>
      <w14:ligatures w14:val="none"/>
    </w:rPr>
  </w:style>
  <w:style w:type="character" w:customStyle="1" w:styleId="BetarpDiagrama">
    <w:name w:val="Be tarpų Diagrama"/>
    <w:basedOn w:val="Numatytasispastraiposriftas"/>
    <w:link w:val="Betarp"/>
    <w:uiPriority w:val="1"/>
    <w:rsid w:val="00FF626F"/>
    <w:rPr>
      <w:rFonts w:eastAsiaTheme="minorEastAsia"/>
      <w:kern w:val="0"/>
      <w:sz w:val="22"/>
      <w:szCs w:val="22"/>
      <w:lang w:eastAsia="lt-LT"/>
      <w14:ligatures w14:val="none"/>
    </w:rPr>
  </w:style>
  <w:style w:type="paragraph" w:styleId="Puslapioinaostekstas">
    <w:name w:val="footnote text"/>
    <w:basedOn w:val="prastasis"/>
    <w:link w:val="PuslapioinaostekstasDiagrama"/>
    <w:uiPriority w:val="99"/>
    <w:semiHidden/>
    <w:unhideWhenUsed/>
    <w:rsid w:val="00A001F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001FC"/>
    <w:rPr>
      <w:sz w:val="20"/>
      <w:szCs w:val="20"/>
    </w:rPr>
  </w:style>
  <w:style w:type="character" w:styleId="Puslapioinaosnuoroda">
    <w:name w:val="footnote reference"/>
    <w:basedOn w:val="Numatytasispastraiposriftas"/>
    <w:uiPriority w:val="99"/>
    <w:semiHidden/>
    <w:unhideWhenUsed/>
    <w:rsid w:val="00A001FC"/>
    <w:rPr>
      <w:vertAlign w:val="superscript"/>
    </w:rPr>
  </w:style>
  <w:style w:type="character" w:styleId="Hipersaitas">
    <w:name w:val="Hyperlink"/>
    <w:basedOn w:val="Numatytasispastraiposriftas"/>
    <w:uiPriority w:val="99"/>
    <w:unhideWhenUsed/>
    <w:rsid w:val="003C0243"/>
    <w:rPr>
      <w:color w:val="467886" w:themeColor="hyperlink"/>
      <w:u w:val="single"/>
    </w:rPr>
  </w:style>
  <w:style w:type="character" w:styleId="Neapdorotaspaminjimas">
    <w:name w:val="Unresolved Mention"/>
    <w:basedOn w:val="Numatytasispastraiposriftas"/>
    <w:uiPriority w:val="99"/>
    <w:semiHidden/>
    <w:unhideWhenUsed/>
    <w:rsid w:val="003C0243"/>
    <w:rPr>
      <w:color w:val="605E5C"/>
      <w:shd w:val="clear" w:color="auto" w:fill="E1DFDD"/>
    </w:rPr>
  </w:style>
  <w:style w:type="table" w:styleId="3paprastojilentel">
    <w:name w:val="Plain Table 3"/>
    <w:basedOn w:val="prastojilentel"/>
    <w:uiPriority w:val="43"/>
    <w:rsid w:val="000310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tinkleliolenteltamsi4parykinimas">
    <w:name w:val="Grid Table 5 Dark Accent 4"/>
    <w:basedOn w:val="prastojilentel"/>
    <w:uiPriority w:val="50"/>
    <w:rsid w:val="000310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Antrats">
    <w:name w:val="header"/>
    <w:basedOn w:val="prastasis"/>
    <w:link w:val="AntratsDiagrama"/>
    <w:uiPriority w:val="99"/>
    <w:unhideWhenUsed/>
    <w:rsid w:val="000D04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0416"/>
  </w:style>
  <w:style w:type="paragraph" w:styleId="Porat">
    <w:name w:val="footer"/>
    <w:basedOn w:val="prastasis"/>
    <w:link w:val="PoratDiagrama"/>
    <w:uiPriority w:val="99"/>
    <w:unhideWhenUsed/>
    <w:rsid w:val="000D04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0416"/>
  </w:style>
  <w:style w:type="character" w:styleId="Komentaronuoroda">
    <w:name w:val="annotation reference"/>
    <w:basedOn w:val="Numatytasispastraiposriftas"/>
    <w:uiPriority w:val="99"/>
    <w:semiHidden/>
    <w:unhideWhenUsed/>
    <w:rsid w:val="003303D0"/>
    <w:rPr>
      <w:sz w:val="16"/>
      <w:szCs w:val="16"/>
    </w:rPr>
  </w:style>
  <w:style w:type="paragraph" w:styleId="Komentarotekstas">
    <w:name w:val="annotation text"/>
    <w:basedOn w:val="prastasis"/>
    <w:link w:val="KomentarotekstasDiagrama"/>
    <w:uiPriority w:val="99"/>
    <w:unhideWhenUsed/>
    <w:rsid w:val="003303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303D0"/>
    <w:rPr>
      <w:sz w:val="20"/>
      <w:szCs w:val="20"/>
    </w:rPr>
  </w:style>
  <w:style w:type="paragraph" w:styleId="Komentarotema">
    <w:name w:val="annotation subject"/>
    <w:basedOn w:val="Komentarotekstas"/>
    <w:next w:val="Komentarotekstas"/>
    <w:link w:val="KomentarotemaDiagrama"/>
    <w:uiPriority w:val="99"/>
    <w:semiHidden/>
    <w:unhideWhenUsed/>
    <w:rsid w:val="003303D0"/>
    <w:rPr>
      <w:b/>
      <w:bCs/>
    </w:rPr>
  </w:style>
  <w:style w:type="character" w:customStyle="1" w:styleId="KomentarotemaDiagrama">
    <w:name w:val="Komentaro tema Diagrama"/>
    <w:basedOn w:val="KomentarotekstasDiagrama"/>
    <w:link w:val="Komentarotema"/>
    <w:uiPriority w:val="99"/>
    <w:semiHidden/>
    <w:rsid w:val="003303D0"/>
    <w:rPr>
      <w:b/>
      <w:bCs/>
      <w:sz w:val="20"/>
      <w:szCs w:val="20"/>
    </w:rPr>
  </w:style>
  <w:style w:type="paragraph" w:styleId="Pataisymai">
    <w:name w:val="Revision"/>
    <w:hidden/>
    <w:uiPriority w:val="99"/>
    <w:semiHidden/>
    <w:rsid w:val="00175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958">
      <w:bodyDiv w:val="1"/>
      <w:marLeft w:val="0"/>
      <w:marRight w:val="0"/>
      <w:marTop w:val="0"/>
      <w:marBottom w:val="0"/>
      <w:divBdr>
        <w:top w:val="none" w:sz="0" w:space="0" w:color="auto"/>
        <w:left w:val="none" w:sz="0" w:space="0" w:color="auto"/>
        <w:bottom w:val="none" w:sz="0" w:space="0" w:color="auto"/>
        <w:right w:val="none" w:sz="0" w:space="0" w:color="auto"/>
      </w:divBdr>
    </w:div>
    <w:div w:id="181095997">
      <w:bodyDiv w:val="1"/>
      <w:marLeft w:val="0"/>
      <w:marRight w:val="0"/>
      <w:marTop w:val="0"/>
      <w:marBottom w:val="0"/>
      <w:divBdr>
        <w:top w:val="none" w:sz="0" w:space="0" w:color="auto"/>
        <w:left w:val="none" w:sz="0" w:space="0" w:color="auto"/>
        <w:bottom w:val="none" w:sz="0" w:space="0" w:color="auto"/>
        <w:right w:val="none" w:sz="0" w:space="0" w:color="auto"/>
      </w:divBdr>
    </w:div>
    <w:div w:id="347214447">
      <w:bodyDiv w:val="1"/>
      <w:marLeft w:val="0"/>
      <w:marRight w:val="0"/>
      <w:marTop w:val="0"/>
      <w:marBottom w:val="0"/>
      <w:divBdr>
        <w:top w:val="none" w:sz="0" w:space="0" w:color="auto"/>
        <w:left w:val="none" w:sz="0" w:space="0" w:color="auto"/>
        <w:bottom w:val="none" w:sz="0" w:space="0" w:color="auto"/>
        <w:right w:val="none" w:sz="0" w:space="0" w:color="auto"/>
      </w:divBdr>
    </w:div>
    <w:div w:id="435640909">
      <w:bodyDiv w:val="1"/>
      <w:marLeft w:val="0"/>
      <w:marRight w:val="0"/>
      <w:marTop w:val="0"/>
      <w:marBottom w:val="0"/>
      <w:divBdr>
        <w:top w:val="none" w:sz="0" w:space="0" w:color="auto"/>
        <w:left w:val="none" w:sz="0" w:space="0" w:color="auto"/>
        <w:bottom w:val="none" w:sz="0" w:space="0" w:color="auto"/>
        <w:right w:val="none" w:sz="0" w:space="0" w:color="auto"/>
      </w:divBdr>
    </w:div>
    <w:div w:id="493449396">
      <w:bodyDiv w:val="1"/>
      <w:marLeft w:val="0"/>
      <w:marRight w:val="0"/>
      <w:marTop w:val="0"/>
      <w:marBottom w:val="0"/>
      <w:divBdr>
        <w:top w:val="none" w:sz="0" w:space="0" w:color="auto"/>
        <w:left w:val="none" w:sz="0" w:space="0" w:color="auto"/>
        <w:bottom w:val="none" w:sz="0" w:space="0" w:color="auto"/>
        <w:right w:val="none" w:sz="0" w:space="0" w:color="auto"/>
      </w:divBdr>
    </w:div>
    <w:div w:id="594675852">
      <w:bodyDiv w:val="1"/>
      <w:marLeft w:val="0"/>
      <w:marRight w:val="0"/>
      <w:marTop w:val="0"/>
      <w:marBottom w:val="0"/>
      <w:divBdr>
        <w:top w:val="none" w:sz="0" w:space="0" w:color="auto"/>
        <w:left w:val="none" w:sz="0" w:space="0" w:color="auto"/>
        <w:bottom w:val="none" w:sz="0" w:space="0" w:color="auto"/>
        <w:right w:val="none" w:sz="0" w:space="0" w:color="auto"/>
      </w:divBdr>
    </w:div>
    <w:div w:id="849611884">
      <w:bodyDiv w:val="1"/>
      <w:marLeft w:val="0"/>
      <w:marRight w:val="0"/>
      <w:marTop w:val="0"/>
      <w:marBottom w:val="0"/>
      <w:divBdr>
        <w:top w:val="none" w:sz="0" w:space="0" w:color="auto"/>
        <w:left w:val="none" w:sz="0" w:space="0" w:color="auto"/>
        <w:bottom w:val="none" w:sz="0" w:space="0" w:color="auto"/>
        <w:right w:val="none" w:sz="0" w:space="0" w:color="auto"/>
      </w:divBdr>
      <w:divsChild>
        <w:div w:id="416901632">
          <w:marLeft w:val="0"/>
          <w:marRight w:val="0"/>
          <w:marTop w:val="0"/>
          <w:marBottom w:val="0"/>
          <w:divBdr>
            <w:top w:val="none" w:sz="0" w:space="0" w:color="auto"/>
            <w:left w:val="none" w:sz="0" w:space="0" w:color="auto"/>
            <w:bottom w:val="none" w:sz="0" w:space="0" w:color="auto"/>
            <w:right w:val="none" w:sz="0" w:space="0" w:color="auto"/>
          </w:divBdr>
        </w:div>
      </w:divsChild>
    </w:div>
    <w:div w:id="1082145360">
      <w:bodyDiv w:val="1"/>
      <w:marLeft w:val="0"/>
      <w:marRight w:val="0"/>
      <w:marTop w:val="0"/>
      <w:marBottom w:val="0"/>
      <w:divBdr>
        <w:top w:val="none" w:sz="0" w:space="0" w:color="auto"/>
        <w:left w:val="none" w:sz="0" w:space="0" w:color="auto"/>
        <w:bottom w:val="none" w:sz="0" w:space="0" w:color="auto"/>
        <w:right w:val="none" w:sz="0" w:space="0" w:color="auto"/>
      </w:divBdr>
    </w:div>
    <w:div w:id="1111516324">
      <w:bodyDiv w:val="1"/>
      <w:marLeft w:val="0"/>
      <w:marRight w:val="0"/>
      <w:marTop w:val="0"/>
      <w:marBottom w:val="0"/>
      <w:divBdr>
        <w:top w:val="none" w:sz="0" w:space="0" w:color="auto"/>
        <w:left w:val="none" w:sz="0" w:space="0" w:color="auto"/>
        <w:bottom w:val="none" w:sz="0" w:space="0" w:color="auto"/>
        <w:right w:val="none" w:sz="0" w:space="0" w:color="auto"/>
      </w:divBdr>
    </w:div>
    <w:div w:id="1233349948">
      <w:bodyDiv w:val="1"/>
      <w:marLeft w:val="0"/>
      <w:marRight w:val="0"/>
      <w:marTop w:val="0"/>
      <w:marBottom w:val="0"/>
      <w:divBdr>
        <w:top w:val="none" w:sz="0" w:space="0" w:color="auto"/>
        <w:left w:val="none" w:sz="0" w:space="0" w:color="auto"/>
        <w:bottom w:val="none" w:sz="0" w:space="0" w:color="auto"/>
        <w:right w:val="none" w:sz="0" w:space="0" w:color="auto"/>
      </w:divBdr>
    </w:div>
    <w:div w:id="1271546729">
      <w:bodyDiv w:val="1"/>
      <w:marLeft w:val="0"/>
      <w:marRight w:val="0"/>
      <w:marTop w:val="0"/>
      <w:marBottom w:val="0"/>
      <w:divBdr>
        <w:top w:val="none" w:sz="0" w:space="0" w:color="auto"/>
        <w:left w:val="none" w:sz="0" w:space="0" w:color="auto"/>
        <w:bottom w:val="none" w:sz="0" w:space="0" w:color="auto"/>
        <w:right w:val="none" w:sz="0" w:space="0" w:color="auto"/>
      </w:divBdr>
    </w:div>
    <w:div w:id="1940795642">
      <w:bodyDiv w:val="1"/>
      <w:marLeft w:val="0"/>
      <w:marRight w:val="0"/>
      <w:marTop w:val="0"/>
      <w:marBottom w:val="0"/>
      <w:divBdr>
        <w:top w:val="none" w:sz="0" w:space="0" w:color="auto"/>
        <w:left w:val="none" w:sz="0" w:space="0" w:color="auto"/>
        <w:bottom w:val="none" w:sz="0" w:space="0" w:color="auto"/>
        <w:right w:val="none" w:sz="0" w:space="0" w:color="auto"/>
      </w:divBdr>
    </w:div>
    <w:div w:id="20270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openxmlformats.org/officeDocument/2006/relationships/image" Target="media/image10.png"/><Relationship Id="rId26"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24"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image" Target="media/image7.svg"/><Relationship Id="rId23" Type="http://schemas.openxmlformats.org/officeDocument/2006/relationships/chart" Target="charts/chart4.xm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sv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3.xml"/><Relationship Id="rId27" Type="http://schemas.openxmlformats.org/officeDocument/2006/relationships/image" Target="media/image12.png"/><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S.Moroziene\Downloads\morozienei%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Moroziene\Downloads\morozienei%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Moroziene\Downloads\morozienei%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lt-LT"/>
              <a:t>ĮVykdyti</a:t>
            </a:r>
            <a:r>
              <a:rPr lang="lt-LT" baseline="0"/>
              <a:t> teismų sprendimai</a:t>
            </a:r>
            <a:endParaRPr lang="lt-LT"/>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lt-LT"/>
        </a:p>
      </c:tx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Sheet2!$B$38:$B$46</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Sheet2!$C$38:$C$46</c:f>
              <c:numCache>
                <c:formatCode>General</c:formatCode>
                <c:ptCount val="9"/>
                <c:pt idx="0">
                  <c:v>57</c:v>
                </c:pt>
                <c:pt idx="1">
                  <c:v>120</c:v>
                </c:pt>
                <c:pt idx="2">
                  <c:v>120</c:v>
                </c:pt>
                <c:pt idx="3">
                  <c:v>489</c:v>
                </c:pt>
                <c:pt idx="4">
                  <c:v>385</c:v>
                </c:pt>
                <c:pt idx="5">
                  <c:v>71</c:v>
                </c:pt>
                <c:pt idx="6">
                  <c:v>76</c:v>
                </c:pt>
                <c:pt idx="7">
                  <c:v>50</c:v>
                </c:pt>
                <c:pt idx="8">
                  <c:v>32</c:v>
                </c:pt>
              </c:numCache>
            </c:numRef>
          </c:val>
          <c:extLst>
            <c:ext xmlns:c16="http://schemas.microsoft.com/office/drawing/2014/chart" uri="{C3380CC4-5D6E-409C-BE32-E72D297353CC}">
              <c16:uniqueId val="{00000000-1FD5-49C7-9029-5169E72F4D12}"/>
            </c:ext>
          </c:extLst>
        </c:ser>
        <c:dLbls>
          <c:dLblPos val="outEnd"/>
          <c:showLegendKey val="0"/>
          <c:showVal val="1"/>
          <c:showCatName val="0"/>
          <c:showSerName val="0"/>
          <c:showPercent val="0"/>
          <c:showBubbleSize val="0"/>
        </c:dLbls>
        <c:gapWidth val="164"/>
        <c:overlap val="-22"/>
        <c:axId val="1507653103"/>
        <c:axId val="1507653935"/>
      </c:barChart>
      <c:catAx>
        <c:axId val="150765310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a:t>Metai</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07653935"/>
        <c:crosses val="autoZero"/>
        <c:auto val="1"/>
        <c:lblAlgn val="ctr"/>
        <c:lblOffset val="100"/>
        <c:noMultiLvlLbl val="0"/>
      </c:catAx>
      <c:valAx>
        <c:axId val="1507653935"/>
        <c:scaling>
          <c:orientation val="minMax"/>
        </c:scaling>
        <c:delete val="0"/>
        <c:axPos val="l"/>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a:t>Atvejų skaičius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076531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lt-LT"/>
              <a:t>Išmokėtos</a:t>
            </a:r>
            <a:r>
              <a:rPr lang="lt-LT" baseline="0"/>
              <a:t> sumos pagal įvykdytus sprendimus</a:t>
            </a:r>
            <a:endParaRPr lang="lt-LT"/>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lt-LT"/>
        </a:p>
      </c:tx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Sheet2!$B$38:$B$46</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Sheet2!$D$38:$D$46</c:f>
              <c:numCache>
                <c:formatCode>General</c:formatCode>
                <c:ptCount val="9"/>
                <c:pt idx="0">
                  <c:v>162300</c:v>
                </c:pt>
                <c:pt idx="1">
                  <c:v>492100</c:v>
                </c:pt>
                <c:pt idx="2">
                  <c:v>411400</c:v>
                </c:pt>
                <c:pt idx="3">
                  <c:v>966100</c:v>
                </c:pt>
                <c:pt idx="4">
                  <c:v>124300</c:v>
                </c:pt>
                <c:pt idx="5">
                  <c:v>1738900</c:v>
                </c:pt>
                <c:pt idx="6">
                  <c:v>1002600</c:v>
                </c:pt>
                <c:pt idx="7">
                  <c:v>544200</c:v>
                </c:pt>
                <c:pt idx="8">
                  <c:v>358813</c:v>
                </c:pt>
              </c:numCache>
            </c:numRef>
          </c:val>
          <c:extLst>
            <c:ext xmlns:c16="http://schemas.microsoft.com/office/drawing/2014/chart" uri="{C3380CC4-5D6E-409C-BE32-E72D297353CC}">
              <c16:uniqueId val="{00000000-42DF-4A87-88A8-E5666642B082}"/>
            </c:ext>
          </c:extLst>
        </c:ser>
        <c:dLbls>
          <c:dLblPos val="outEnd"/>
          <c:showLegendKey val="0"/>
          <c:showVal val="1"/>
          <c:showCatName val="0"/>
          <c:showSerName val="0"/>
          <c:showPercent val="0"/>
          <c:showBubbleSize val="0"/>
        </c:dLbls>
        <c:gapWidth val="164"/>
        <c:overlap val="-22"/>
        <c:axId val="1910332079"/>
        <c:axId val="1910322095"/>
      </c:barChart>
      <c:catAx>
        <c:axId val="1910332079"/>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sz="900" b="1" i="0" u="none" strike="noStrike" baseline="0">
                    <a:effectLst/>
                  </a:rPr>
                  <a:t>Metai</a:t>
                </a:r>
                <a:r>
                  <a:rPr lang="lt-LT" sz="900" b="1" i="0" u="none" strike="noStrike" baseline="0"/>
                  <a:t> </a:t>
                </a:r>
                <a:endParaRPr lang="lt-LT"/>
              </a:p>
            </c:rich>
          </c:tx>
          <c:layout>
            <c:manualLayout>
              <c:xMode val="edge"/>
              <c:yMode val="edge"/>
              <c:x val="0.49739457567804024"/>
              <c:y val="0.8843285214348206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10322095"/>
        <c:crosses val="autoZero"/>
        <c:auto val="1"/>
        <c:lblAlgn val="ctr"/>
        <c:lblOffset val="100"/>
        <c:noMultiLvlLbl val="0"/>
      </c:catAx>
      <c:valAx>
        <c:axId val="1910322095"/>
        <c:scaling>
          <c:orientation val="minMax"/>
        </c:scaling>
        <c:delete val="0"/>
        <c:axPos val="l"/>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a:t>Apmokėta suma (tūkst. Eur)</a:t>
                </a:r>
              </a:p>
            </c:rich>
          </c:tx>
          <c:layout>
            <c:manualLayout>
              <c:xMode val="edge"/>
              <c:yMode val="edge"/>
              <c:x val="1.6649323621227889E-2"/>
              <c:y val="0.1374104683195592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10332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lt-LT"/>
              <a:t>Sudaryti taikūs</a:t>
            </a:r>
            <a:r>
              <a:rPr lang="lt-LT" baseline="0"/>
              <a:t> susitarimai</a:t>
            </a:r>
            <a:endParaRPr lang="lt-LT"/>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lt-LT"/>
        </a:p>
      </c:txPr>
    </c:title>
    <c:autoTitleDeleted val="0"/>
    <c:plotArea>
      <c:layout>
        <c:manualLayout>
          <c:layoutTarget val="inner"/>
          <c:xMode val="edge"/>
          <c:yMode val="edge"/>
          <c:x val="0.11718505860002069"/>
          <c:y val="0.1850696267133275"/>
          <c:w val="0.84670373278150834"/>
          <c:h val="0.69827172645086033"/>
        </c:manualLayout>
      </c:layout>
      <c:barChart>
        <c:barDir val="col"/>
        <c:grouping val="clustered"/>
        <c:varyColors val="0"/>
        <c:ser>
          <c:idx val="0"/>
          <c:order val="0"/>
          <c:tx>
            <c:strRef>
              <c:f>Sheet2!$C$3</c:f>
              <c:strCache>
                <c:ptCount val="1"/>
                <c:pt idx="0">
                  <c:v>Atvejų skaičius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Sheet2!$B$4:$B$13</c:f>
              <c:numCache>
                <c:formatCode>General</c:formatCode>
                <c:ptCount val="10"/>
                <c:pt idx="1">
                  <c:v>2016</c:v>
                </c:pt>
                <c:pt idx="2">
                  <c:v>2017</c:v>
                </c:pt>
                <c:pt idx="3">
                  <c:v>2018</c:v>
                </c:pt>
                <c:pt idx="4">
                  <c:v>2019</c:v>
                </c:pt>
                <c:pt idx="5">
                  <c:v>2020</c:v>
                </c:pt>
                <c:pt idx="6">
                  <c:v>2021</c:v>
                </c:pt>
                <c:pt idx="7">
                  <c:v>2022</c:v>
                </c:pt>
                <c:pt idx="8">
                  <c:v>2023</c:v>
                </c:pt>
                <c:pt idx="9">
                  <c:v>2024</c:v>
                </c:pt>
              </c:numCache>
            </c:numRef>
          </c:cat>
          <c:val>
            <c:numRef>
              <c:f>Sheet2!$C$4:$C$13</c:f>
              <c:numCache>
                <c:formatCode>General</c:formatCode>
                <c:ptCount val="10"/>
                <c:pt idx="1">
                  <c:v>7</c:v>
                </c:pt>
                <c:pt idx="2">
                  <c:v>14</c:v>
                </c:pt>
                <c:pt idx="3">
                  <c:v>11</c:v>
                </c:pt>
                <c:pt idx="4">
                  <c:v>7</c:v>
                </c:pt>
                <c:pt idx="5">
                  <c:v>11</c:v>
                </c:pt>
                <c:pt idx="6">
                  <c:v>9</c:v>
                </c:pt>
                <c:pt idx="7">
                  <c:v>11</c:v>
                </c:pt>
                <c:pt idx="8">
                  <c:v>8</c:v>
                </c:pt>
                <c:pt idx="9">
                  <c:v>4</c:v>
                </c:pt>
              </c:numCache>
            </c:numRef>
          </c:val>
          <c:extLst>
            <c:ext xmlns:c16="http://schemas.microsoft.com/office/drawing/2014/chart" uri="{C3380CC4-5D6E-409C-BE32-E72D297353CC}">
              <c16:uniqueId val="{00000000-FF69-459D-AE24-CFFF3E011F36}"/>
            </c:ext>
          </c:extLst>
        </c:ser>
        <c:dLbls>
          <c:dLblPos val="outEnd"/>
          <c:showLegendKey val="0"/>
          <c:showVal val="1"/>
          <c:showCatName val="0"/>
          <c:showSerName val="0"/>
          <c:showPercent val="0"/>
          <c:showBubbleSize val="0"/>
        </c:dLbls>
        <c:gapWidth val="164"/>
        <c:overlap val="-22"/>
        <c:axId val="1757865871"/>
        <c:axId val="1757870031"/>
      </c:barChart>
      <c:catAx>
        <c:axId val="175786587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sz="900" b="1" i="0" u="none" strike="noStrike" baseline="0">
                    <a:effectLst/>
                  </a:rPr>
                  <a:t>Metai</a:t>
                </a:r>
                <a:r>
                  <a:rPr lang="lt-LT" sz="900" b="1" i="0" u="none" strike="noStrike" baseline="0"/>
                  <a:t> </a:t>
                </a:r>
                <a:endParaRPr lang="lt-LT"/>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57870031"/>
        <c:crosses val="autoZero"/>
        <c:auto val="1"/>
        <c:lblAlgn val="ctr"/>
        <c:lblOffset val="100"/>
        <c:noMultiLvlLbl val="0"/>
      </c:catAx>
      <c:valAx>
        <c:axId val="1757870031"/>
        <c:scaling>
          <c:orientation val="minMax"/>
        </c:scaling>
        <c:delete val="0"/>
        <c:axPos val="l"/>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sz="900" b="1" i="0" u="none" strike="noStrike" baseline="0">
                    <a:effectLst/>
                  </a:rPr>
                  <a:t>Atvejų skaičius</a:t>
                </a:r>
                <a:r>
                  <a:rPr lang="lt-LT" sz="900" b="1" i="0" u="none" strike="noStrike" baseline="0"/>
                  <a:t> </a:t>
                </a:r>
                <a:endParaRPr lang="lt-LT"/>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5786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lt-LT"/>
              <a:t>ATVEJAI, KAI TEISINGUMO MINISTERIJA KREIPĖSI Į ATSAKINGAS INSTITUCIJAS DĖL REGRESO INICIjAVIMO</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Atvejai, kai Teisingumo ministerija kreipėsi į atsakingas institucijas dėl regreso inicijavimo</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Lapas1!$A$2:$A$5</c:f>
              <c:numCache>
                <c:formatCode>General</c:formatCode>
                <c:ptCount val="4"/>
                <c:pt idx="0">
                  <c:v>2021</c:v>
                </c:pt>
                <c:pt idx="1">
                  <c:v>2022</c:v>
                </c:pt>
                <c:pt idx="2">
                  <c:v>2023</c:v>
                </c:pt>
                <c:pt idx="3">
                  <c:v>2024</c:v>
                </c:pt>
              </c:numCache>
            </c:numRef>
          </c:cat>
          <c:val>
            <c:numRef>
              <c:f>Lapas1!$B$2:$B$5</c:f>
              <c:numCache>
                <c:formatCode>General</c:formatCode>
                <c:ptCount val="4"/>
                <c:pt idx="0">
                  <c:v>36</c:v>
                </c:pt>
                <c:pt idx="1">
                  <c:v>34</c:v>
                </c:pt>
                <c:pt idx="2">
                  <c:v>29</c:v>
                </c:pt>
                <c:pt idx="3">
                  <c:v>21</c:v>
                </c:pt>
              </c:numCache>
            </c:numRef>
          </c:val>
          <c:extLst>
            <c:ext xmlns:c16="http://schemas.microsoft.com/office/drawing/2014/chart" uri="{C3380CC4-5D6E-409C-BE32-E72D297353CC}">
              <c16:uniqueId val="{00000000-7A60-44D7-8DB1-098555545A38}"/>
            </c:ext>
          </c:extLst>
        </c:ser>
        <c:dLbls>
          <c:dLblPos val="inEnd"/>
          <c:showLegendKey val="0"/>
          <c:showVal val="1"/>
          <c:showCatName val="0"/>
          <c:showSerName val="0"/>
          <c:showPercent val="0"/>
          <c:showBubbleSize val="0"/>
        </c:dLbls>
        <c:gapWidth val="164"/>
        <c:overlap val="-22"/>
        <c:axId val="1027016656"/>
        <c:axId val="1027033456"/>
        <c:extLst>
          <c:ext xmlns:c15="http://schemas.microsoft.com/office/drawing/2012/chart" uri="{02D57815-91ED-43cb-92C2-25804820EDAC}">
            <c15:filteredBarSeries>
              <c15:ser>
                <c:idx val="1"/>
                <c:order val="1"/>
                <c:tx>
                  <c:strRef>
                    <c:extLst>
                      <c:ext uri="{02D57815-91ED-43cb-92C2-25804820EDAC}">
                        <c15:formulaRef>
                          <c15:sqref>Lapas1!$C$1</c15:sqref>
                        </c15:formulaRef>
                      </c:ext>
                    </c:extLst>
                    <c:strCache>
                      <c:ptCount val="1"/>
                      <c:pt idx="0">
                        <c:v>Stulpelis1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Lapas1!$A$2:$A$5</c15:sqref>
                        </c15:formulaRef>
                      </c:ext>
                    </c:extLst>
                    <c:numCache>
                      <c:formatCode>General</c:formatCode>
                      <c:ptCount val="4"/>
                      <c:pt idx="0">
                        <c:v>2021</c:v>
                      </c:pt>
                      <c:pt idx="1">
                        <c:v>2022</c:v>
                      </c:pt>
                      <c:pt idx="2">
                        <c:v>2023</c:v>
                      </c:pt>
                      <c:pt idx="3">
                        <c:v>2024</c:v>
                      </c:pt>
                    </c:numCache>
                  </c:numRef>
                </c:cat>
                <c:val>
                  <c:numRef>
                    <c:extLst>
                      <c:ext uri="{02D57815-91ED-43cb-92C2-25804820EDAC}">
                        <c15:formulaRef>
                          <c15:sqref>Lapas1!$C$2:$C$5</c15:sqref>
                        </c15:formulaRef>
                      </c:ext>
                    </c:extLst>
                    <c:numCache>
                      <c:formatCode>General</c:formatCode>
                      <c:ptCount val="4"/>
                    </c:numCache>
                  </c:numRef>
                </c:val>
                <c:extLst>
                  <c:ext xmlns:c16="http://schemas.microsoft.com/office/drawing/2014/chart" uri="{C3380CC4-5D6E-409C-BE32-E72D297353CC}">
                    <c16:uniqueId val="{00000001-7A60-44D7-8DB1-098555545A3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Lapas1!$D$1</c15:sqref>
                        </c15:formulaRef>
                      </c:ext>
                    </c:extLst>
                    <c:strCache>
                      <c:ptCount val="1"/>
                      <c:pt idx="0">
                        <c:v>Stulpelis2</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extLst xmlns:c15="http://schemas.microsoft.com/office/drawing/2012/chart">
                      <c:ext xmlns:c15="http://schemas.microsoft.com/office/drawing/2012/chart" uri="{02D57815-91ED-43cb-92C2-25804820EDAC}">
                        <c15:formulaRef>
                          <c15:sqref>Lapas1!$A$2:$A$5</c15:sqref>
                        </c15:formulaRef>
                      </c:ext>
                    </c:extLst>
                    <c:numCache>
                      <c:formatCode>General</c:formatCode>
                      <c:ptCount val="4"/>
                      <c:pt idx="0">
                        <c:v>2021</c:v>
                      </c:pt>
                      <c:pt idx="1">
                        <c:v>2022</c:v>
                      </c:pt>
                      <c:pt idx="2">
                        <c:v>2023</c:v>
                      </c:pt>
                      <c:pt idx="3">
                        <c:v>2024</c:v>
                      </c:pt>
                    </c:numCache>
                  </c:numRef>
                </c:cat>
                <c:val>
                  <c:numRef>
                    <c:extLst xmlns:c15="http://schemas.microsoft.com/office/drawing/2012/chart">
                      <c:ext xmlns:c15="http://schemas.microsoft.com/office/drawing/2012/chart" uri="{02D57815-91ED-43cb-92C2-25804820EDAC}">
                        <c15:formulaRef>
                          <c15:sqref>Lapas1!$D$2:$D$5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7A60-44D7-8DB1-098555545A38}"/>
                  </c:ext>
                </c:extLst>
              </c15:ser>
            </c15:filteredBarSeries>
          </c:ext>
        </c:extLst>
      </c:barChart>
      <c:catAx>
        <c:axId val="10270166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27033456"/>
        <c:crosses val="autoZero"/>
        <c:auto val="1"/>
        <c:lblAlgn val="ctr"/>
        <c:lblOffset val="100"/>
        <c:noMultiLvlLbl val="0"/>
      </c:catAx>
      <c:valAx>
        <c:axId val="1027033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27016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lt-LT"/>
              <a:t>Regreso tvarka grąžintos sumos valstybei </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Sheet2!$Q$10</c:f>
              <c:strCache>
                <c:ptCount val="1"/>
                <c:pt idx="0">
                  <c:v>Apmokėta suma (tūkst. Eur)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Sheet2!$P$11:$P$14</c:f>
              <c:numCache>
                <c:formatCode>General</c:formatCode>
                <c:ptCount val="4"/>
                <c:pt idx="0">
                  <c:v>2021</c:v>
                </c:pt>
                <c:pt idx="1">
                  <c:v>2022</c:v>
                </c:pt>
                <c:pt idx="2">
                  <c:v>2023</c:v>
                </c:pt>
                <c:pt idx="3">
                  <c:v>2024</c:v>
                </c:pt>
              </c:numCache>
            </c:numRef>
          </c:cat>
          <c:val>
            <c:numRef>
              <c:f>Sheet2!$Q$11:$Q$14</c:f>
              <c:numCache>
                <c:formatCode>General</c:formatCode>
                <c:ptCount val="4"/>
                <c:pt idx="0">
                  <c:v>18479.62</c:v>
                </c:pt>
                <c:pt idx="1">
                  <c:v>36968.959999999999</c:v>
                </c:pt>
                <c:pt idx="2" formatCode="#,##0.00">
                  <c:v>23631.85</c:v>
                </c:pt>
                <c:pt idx="3" formatCode="#,##0.00">
                  <c:v>6672.56</c:v>
                </c:pt>
              </c:numCache>
            </c:numRef>
          </c:val>
          <c:extLst>
            <c:ext xmlns:c16="http://schemas.microsoft.com/office/drawing/2014/chart" uri="{C3380CC4-5D6E-409C-BE32-E72D297353CC}">
              <c16:uniqueId val="{00000000-5739-4ADB-9FC4-A9A2B6B0CE31}"/>
            </c:ext>
          </c:extLst>
        </c:ser>
        <c:dLbls>
          <c:dLblPos val="outEnd"/>
          <c:showLegendKey val="0"/>
          <c:showVal val="1"/>
          <c:showCatName val="0"/>
          <c:showSerName val="0"/>
          <c:showPercent val="0"/>
          <c:showBubbleSize val="0"/>
        </c:dLbls>
        <c:gapWidth val="164"/>
        <c:overlap val="-22"/>
        <c:axId val="1757961487"/>
        <c:axId val="1757955247"/>
      </c:barChart>
      <c:catAx>
        <c:axId val="175796148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a:t>Metai</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57955247"/>
        <c:crosses val="autoZero"/>
        <c:auto val="1"/>
        <c:lblAlgn val="ctr"/>
        <c:lblOffset val="100"/>
        <c:noMultiLvlLbl val="0"/>
      </c:catAx>
      <c:valAx>
        <c:axId val="1757955247"/>
        <c:scaling>
          <c:orientation val="minMax"/>
        </c:scaling>
        <c:delete val="0"/>
        <c:axPos val="l"/>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t-LT"/>
                  <a:t>Apmokėta suma (tūkst. Eur)</a:t>
                </a:r>
              </a:p>
            </c:rich>
          </c:tx>
          <c:layout>
            <c:manualLayout>
              <c:xMode val="edge"/>
              <c:yMode val="edge"/>
              <c:x val="1.8789144050104383E-2"/>
              <c:y val="0.1862176165803108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579614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Nustatyti neteisėti</a:t>
            </a:r>
            <a:r>
              <a:rPr lang="lt-LT" baseline="0"/>
              <a:t> veiksmai</a:t>
            </a:r>
            <a:endParaRPr lang="lt-LT"/>
          </a:p>
        </c:rich>
      </c:tx>
      <c:layout>
        <c:manualLayout>
          <c:xMode val="edge"/>
          <c:yMode val="edge"/>
          <c:x val="0.25644527083135032"/>
          <c:y val="2.234012845573862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Pardavimas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CCA-4D48-9598-9F3E0C60E91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CCA-4D48-9598-9F3E0C60E91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CCA-4D48-9598-9F3E0C60E91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CCA-4D48-9598-9F3E0C60E91F}"/>
              </c:ext>
            </c:extLst>
          </c:dPt>
          <c:dLbls>
            <c:dLbl>
              <c:idx val="2"/>
              <c:layout>
                <c:manualLayout>
                  <c:x val="-1.6979023411985966E-2"/>
                  <c:y val="-8.2750826210951506E-3"/>
                </c:manualLayout>
              </c:layout>
              <c:tx>
                <c:rich>
                  <a:bodyPr/>
                  <a:lstStyle/>
                  <a:p>
                    <a:fld id="{8B92D01A-5F46-430C-99A4-41CE641FC49D}" type="VALUE">
                      <a:rPr lang="en-US"/>
                      <a:pPr/>
                      <a:t>[REIKŠMĖ]</a:t>
                    </a:fld>
                    <a:r>
                      <a:rPr lang="en-US"/>
                      <a:t> </a:t>
                    </a:r>
                    <a:r>
                      <a:rPr lang="en-US" baseline="0"/>
                      <a:t>
</a:t>
                    </a:r>
                    <a:fld id="{0DC37491-F4DB-42EB-BFE4-A40BAFB96846}" type="PERCENTAGE">
                      <a:rPr lang="en-US" baseline="0"/>
                      <a:pPr/>
                      <a:t>[PROCENTAI]</a:t>
                    </a:fld>
                    <a:endParaRPr lang="en-US" baseline="0"/>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FCCA-4D48-9598-9F3E0C60E91F}"/>
                </c:ext>
              </c:extLst>
            </c:dLbl>
            <c:dLbl>
              <c:idx val="3"/>
              <c:layout>
                <c:manualLayout>
                  <c:x val="4.6342307982656816E-2"/>
                  <c:y val="4.9289007821243791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CCA-4D48-9598-9F3E0C60E91F}"/>
                </c:ext>
              </c:extLst>
            </c:dLbl>
            <c:numFmt formatCode="0\ %"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bestFit"/>
            <c:showLegendKey val="0"/>
            <c:showVal val="1"/>
            <c:showCatName val="0"/>
            <c:showSerName val="0"/>
            <c:showPercent val="1"/>
            <c:showBubbleSize val="0"/>
            <c:separator>
</c:separator>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4"/>
                <c:pt idx="0">
                  <c:v>Nepakankamai motyvuoti sprendimai </c:v>
                </c:pt>
                <c:pt idx="1">
                  <c:v>Netinkamas įstatymo taikymas </c:v>
                </c:pt>
                <c:pt idx="2">
                  <c:v>Netinkamas proceso organizavimas </c:v>
                </c:pt>
                <c:pt idx="3">
                  <c:v>Žmogiškoji klaida</c:v>
                </c:pt>
              </c:strCache>
            </c:strRef>
          </c:cat>
          <c:val>
            <c:numRef>
              <c:f>Lapas1!$B$2:$B$5</c:f>
              <c:numCache>
                <c:formatCode>General</c:formatCode>
                <c:ptCount val="4"/>
                <c:pt idx="0">
                  <c:v>3</c:v>
                </c:pt>
                <c:pt idx="1">
                  <c:v>16</c:v>
                </c:pt>
                <c:pt idx="2">
                  <c:v>2</c:v>
                </c:pt>
                <c:pt idx="3">
                  <c:v>1</c:v>
                </c:pt>
              </c:numCache>
            </c:numRef>
          </c:val>
          <c:extLst>
            <c:ext xmlns:c16="http://schemas.microsoft.com/office/drawing/2014/chart" uri="{C3380CC4-5D6E-409C-BE32-E72D297353CC}">
              <c16:uniqueId val="{00000000-378B-4DEE-8FEF-DA23E71B9C9E}"/>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Institucijos, kurių veiksmai nustatyti kaip neteisėti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264-4AEB-AD12-9885B8662F3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264-4AEB-AD12-9885B8662F3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264-4AEB-AD12-9885B8662F3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264-4AEB-AD12-9885B8662F3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264-4AEB-AD12-9885B8662F3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A659-481F-9178-56AFA75A689B}"/>
              </c:ext>
            </c:extLst>
          </c:dPt>
          <c:dLbls>
            <c:dLbl>
              <c:idx val="3"/>
              <c:layout>
                <c:manualLayout>
                  <c:x val="-6.7518625389217657E-2"/>
                  <c:y val="-2.3116376507982374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8264-4AEB-AD12-9885B8662F34}"/>
                </c:ext>
              </c:extLst>
            </c:dLbl>
            <c:dLbl>
              <c:idx val="4"/>
              <c:layout>
                <c:manualLayout>
                  <c:x val="-1.2263311812992946E-2"/>
                  <c:y val="-6.1248162394022997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8264-4AEB-AD12-9885B8662F34}"/>
                </c:ext>
              </c:extLst>
            </c:dLbl>
            <c:dLbl>
              <c:idx val="5"/>
              <c:layout>
                <c:manualLayout>
                  <c:x val="1.8271966994121529E-2"/>
                  <c:y val="-5.0713714261653123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A659-481F-9178-56AFA75A689B}"/>
                </c:ext>
              </c:extLst>
            </c:dLbl>
            <c:numFmt formatCode="0\ %"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324000" anchor="ctr" anchorCtr="1">
                <a:spAutoFit/>
              </a:bodyPr>
              <a:lstStyle/>
              <a:p>
                <a:pPr>
                  <a:defRPr sz="1000" b="1" i="0" u="none" strike="noStrike" kern="1200" baseline="0">
                    <a:ln>
                      <a:noFill/>
                    </a:ln>
                    <a:solidFill>
                      <a:schemeClr val="lt1"/>
                    </a:solidFill>
                    <a:latin typeface="+mn-lt"/>
                    <a:ea typeface="+mn-ea"/>
                    <a:cs typeface="+mn-cs"/>
                  </a:defRPr>
                </a:pPr>
                <a:endParaRPr lang="lt-LT"/>
              </a:p>
            </c:txPr>
            <c:dLblPos val="bestFit"/>
            <c:showLegendKey val="0"/>
            <c:showVal val="1"/>
            <c:showCatName val="0"/>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Lapas1!$A$2:$A$7</c:f>
              <c:strCache>
                <c:ptCount val="6"/>
                <c:pt idx="0">
                  <c:v>Teismai</c:v>
                </c:pt>
                <c:pt idx="1">
                  <c:v>Prokurorai</c:v>
                </c:pt>
                <c:pt idx="2">
                  <c:v>Ikiteisminio tyrimo įstaigos</c:v>
                </c:pt>
                <c:pt idx="3">
                  <c:v>Nacionalinė žemės tarnyba prie Aplinkos ministerijos</c:v>
                </c:pt>
                <c:pt idx="4">
                  <c:v>Aplinkos apsaugos departamentas prie Aplinkos ministerijos</c:v>
                </c:pt>
                <c:pt idx="5">
                  <c:v>Lietuvos Respublikоs finansų ministerija</c:v>
                </c:pt>
              </c:strCache>
            </c:strRef>
          </c:cat>
          <c:val>
            <c:numRef>
              <c:f>Lapas1!$B$2:$B$7</c:f>
              <c:numCache>
                <c:formatCode>General</c:formatCode>
                <c:ptCount val="6"/>
                <c:pt idx="0">
                  <c:v>10</c:v>
                </c:pt>
                <c:pt idx="1">
                  <c:v>18</c:v>
                </c:pt>
                <c:pt idx="2">
                  <c:v>13</c:v>
                </c:pt>
                <c:pt idx="3">
                  <c:v>1</c:v>
                </c:pt>
                <c:pt idx="4">
                  <c:v>1</c:v>
                </c:pt>
                <c:pt idx="5">
                  <c:v>1</c:v>
                </c:pt>
              </c:numCache>
            </c:numRef>
          </c:val>
          <c:extLst>
            <c:ext xmlns:c16="http://schemas.microsoft.com/office/drawing/2014/chart" uri="{C3380CC4-5D6E-409C-BE32-E72D297353CC}">
              <c16:uniqueId val="{00000000-F5D4-408A-B130-3D6229E2377A}"/>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67590697901892693"/>
          <c:y val="0.21158804690698066"/>
          <c:w val="0.31167066073262584"/>
          <c:h val="0.7884119530930193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7AB872295449DB058B5F2ECA1EEB7"/>
        <w:category>
          <w:name w:val="Bendrosios nuostatos"/>
          <w:gallery w:val="placeholder"/>
        </w:category>
        <w:types>
          <w:type w:val="bbPlcHdr"/>
        </w:types>
        <w:behaviors>
          <w:behavior w:val="content"/>
        </w:behaviors>
        <w:guid w:val="{D806B5ED-5785-4C54-A0C4-9A15BD846330}"/>
      </w:docPartPr>
      <w:docPartBody>
        <w:p w:rsidR="00084967" w:rsidRDefault="004D7F0A" w:rsidP="004D7F0A">
          <w:pPr>
            <w:pStyle w:val="1767AB872295449DB058B5F2ECA1EEB7"/>
          </w:pPr>
          <w:r>
            <w:rPr>
              <w:rFonts w:asciiTheme="majorHAnsi" w:eastAsiaTheme="majorEastAsia" w:hAnsiTheme="majorHAnsi" w:cstheme="majorBidi"/>
              <w:color w:val="156082" w:themeColor="accent1"/>
              <w:sz w:val="88"/>
              <w:szCs w:val="88"/>
            </w:rPr>
            <w:t>[Dokumento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0A"/>
    <w:rsid w:val="00073926"/>
    <w:rsid w:val="00084967"/>
    <w:rsid w:val="001522D4"/>
    <w:rsid w:val="0019194B"/>
    <w:rsid w:val="001C51E1"/>
    <w:rsid w:val="001E008A"/>
    <w:rsid w:val="002A0928"/>
    <w:rsid w:val="002E0C29"/>
    <w:rsid w:val="002F4CDD"/>
    <w:rsid w:val="00310E83"/>
    <w:rsid w:val="0031566F"/>
    <w:rsid w:val="00363764"/>
    <w:rsid w:val="0039208F"/>
    <w:rsid w:val="003B7E5E"/>
    <w:rsid w:val="00490267"/>
    <w:rsid w:val="004D7F0A"/>
    <w:rsid w:val="00502667"/>
    <w:rsid w:val="00563683"/>
    <w:rsid w:val="005A3F78"/>
    <w:rsid w:val="005F13E7"/>
    <w:rsid w:val="00621011"/>
    <w:rsid w:val="006435A3"/>
    <w:rsid w:val="00654911"/>
    <w:rsid w:val="006726C8"/>
    <w:rsid w:val="006C36E0"/>
    <w:rsid w:val="00716F7D"/>
    <w:rsid w:val="007E4AC1"/>
    <w:rsid w:val="00820CE7"/>
    <w:rsid w:val="00823158"/>
    <w:rsid w:val="008554B8"/>
    <w:rsid w:val="008C39A6"/>
    <w:rsid w:val="008E6A17"/>
    <w:rsid w:val="009D3D04"/>
    <w:rsid w:val="00A0772B"/>
    <w:rsid w:val="00A87677"/>
    <w:rsid w:val="00A9654D"/>
    <w:rsid w:val="00AA70D1"/>
    <w:rsid w:val="00AE622F"/>
    <w:rsid w:val="00AF5DA8"/>
    <w:rsid w:val="00B2730C"/>
    <w:rsid w:val="00C334A4"/>
    <w:rsid w:val="00C37851"/>
    <w:rsid w:val="00CD17CE"/>
    <w:rsid w:val="00DA5BB0"/>
    <w:rsid w:val="00DB08A7"/>
    <w:rsid w:val="00DB4F82"/>
    <w:rsid w:val="00EB1B9B"/>
    <w:rsid w:val="00EF51A9"/>
    <w:rsid w:val="00F14E04"/>
    <w:rsid w:val="00F45451"/>
    <w:rsid w:val="00F75D2B"/>
    <w:rsid w:val="00F82D9F"/>
    <w:rsid w:val="00F9597C"/>
    <w:rsid w:val="00FC10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767AB872295449DB058B5F2ECA1EEB7">
    <w:name w:val="1767AB872295449DB058B5F2ECA1EEB7"/>
    <w:rsid w:val="004D7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B0A6E-1EC2-4F12-974C-036EF3A6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16463</Words>
  <Characters>9385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Atstovavimas valstybei deliktinės atsakomybės bylose – 2024 metų apžvalga</vt:lpstr>
      <vt:lpstr>Atstovavimo valstybei deliktinės atsakomybės bylose apžvalga           2024 metai</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Atstovavimas valstybei deliktinės atsakomybės bylose – 2024 metų apžvalga</dc:title>
  <dc:subject/>
  <dc:creator>Sonata Morozienė</dc:creator>
  <cp:keywords/>
  <dc:description/>
  <cp:lastModifiedBy>Virginija Vervečkaitė-Motuzienė</cp:lastModifiedBy>
  <cp:revision>2</cp:revision>
  <cp:lastPrinted>2025-08-19T11:15:00Z</cp:lastPrinted>
  <dcterms:created xsi:type="dcterms:W3CDTF">2025-10-23T06:32:00Z</dcterms:created>
  <dcterms:modified xsi:type="dcterms:W3CDTF">2025-10-23T06:32:00Z</dcterms:modified>
</cp:coreProperties>
</file>